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76" w:rsidRPr="00D83B76" w:rsidRDefault="00D83B76" w:rsidP="00D83B76">
      <w:pPr>
        <w:widowControl/>
        <w:spacing w:before="100" w:beforeAutospacing="1" w:after="100" w:afterAutospacing="1" w:line="480" w:lineRule="auto"/>
        <w:jc w:val="left"/>
        <w:rPr>
          <w:rFonts w:ascii="Arial" w:eastAsia="宋体" w:hAnsi="Arial" w:cs="Arial"/>
          <w:color w:val="000000"/>
          <w:kern w:val="0"/>
          <w:sz w:val="24"/>
          <w:szCs w:val="24"/>
        </w:rPr>
      </w:pPr>
      <w:r w:rsidRPr="00D83B76">
        <w:rPr>
          <w:rFonts w:ascii="Arial" w:eastAsia="宋体" w:hAnsi="Arial" w:cs="Arial"/>
          <w:color w:val="000000"/>
          <w:kern w:val="0"/>
          <w:sz w:val="24"/>
          <w:szCs w:val="24"/>
        </w:rPr>
        <w:t>为强化对医疗器械临床试验过程的监督管理，有效开展医疗器械临床试验监督检查，国家药品监督管理局按照《医疗器械临床试验质量管理规范》《体外诊断试剂临床试验技术指导原则》的要求，组织起草了《医疗器械临床试验检查要点及判定原则（征求意见稿）》，现公开征求意见。</w:t>
      </w:r>
      <w:r w:rsidRPr="00D83B76">
        <w:rPr>
          <w:rFonts w:ascii="Arial" w:eastAsia="宋体" w:hAnsi="Arial" w:cs="Arial"/>
          <w:color w:val="000000"/>
          <w:kern w:val="0"/>
          <w:szCs w:val="21"/>
        </w:rPr>
        <w:br/>
      </w:r>
      <w:r w:rsidRPr="00D83B76">
        <w:rPr>
          <w:rFonts w:ascii="Arial" w:eastAsia="宋体" w:hAnsi="Arial" w:cs="Arial"/>
          <w:color w:val="000000"/>
          <w:kern w:val="0"/>
          <w:sz w:val="24"/>
          <w:szCs w:val="24"/>
        </w:rPr>
        <w:t xml:space="preserve">　　请将意见建议于</w:t>
      </w:r>
      <w:r w:rsidRPr="00D83B76">
        <w:rPr>
          <w:rFonts w:ascii="Arial" w:eastAsia="宋体" w:hAnsi="Arial" w:cs="Arial"/>
          <w:color w:val="000000"/>
          <w:kern w:val="0"/>
          <w:sz w:val="24"/>
          <w:szCs w:val="24"/>
        </w:rPr>
        <w:t>2018</w:t>
      </w:r>
      <w:r w:rsidRPr="00D83B76">
        <w:rPr>
          <w:rFonts w:ascii="Arial" w:eastAsia="宋体" w:hAnsi="Arial" w:cs="Arial"/>
          <w:color w:val="000000"/>
          <w:kern w:val="0"/>
          <w:sz w:val="24"/>
          <w:szCs w:val="24"/>
        </w:rPr>
        <w:t>年</w:t>
      </w:r>
      <w:r w:rsidRPr="00D83B76">
        <w:rPr>
          <w:rFonts w:ascii="Arial" w:eastAsia="宋体" w:hAnsi="Arial" w:cs="Arial"/>
          <w:color w:val="000000"/>
          <w:kern w:val="0"/>
          <w:sz w:val="24"/>
          <w:szCs w:val="24"/>
        </w:rPr>
        <w:t>6</w:t>
      </w:r>
      <w:r w:rsidRPr="00D83B76">
        <w:rPr>
          <w:rFonts w:ascii="Arial" w:eastAsia="宋体" w:hAnsi="Arial" w:cs="Arial"/>
          <w:color w:val="000000"/>
          <w:kern w:val="0"/>
          <w:sz w:val="24"/>
          <w:szCs w:val="24"/>
        </w:rPr>
        <w:t>月</w:t>
      </w:r>
      <w:r w:rsidRPr="00D83B76">
        <w:rPr>
          <w:rFonts w:ascii="Arial" w:eastAsia="宋体" w:hAnsi="Arial" w:cs="Arial"/>
          <w:color w:val="000000"/>
          <w:kern w:val="0"/>
          <w:sz w:val="24"/>
          <w:szCs w:val="24"/>
        </w:rPr>
        <w:t>30</w:t>
      </w:r>
      <w:r w:rsidRPr="00D83B76">
        <w:rPr>
          <w:rFonts w:ascii="Arial" w:eastAsia="宋体" w:hAnsi="Arial" w:cs="Arial"/>
          <w:color w:val="000000"/>
          <w:kern w:val="0"/>
          <w:sz w:val="24"/>
          <w:szCs w:val="24"/>
        </w:rPr>
        <w:t>日前以电子邮件形式反馈至国家食品药品监督管理总局食品药品审核查验中心。</w:t>
      </w:r>
      <w:r w:rsidRPr="00D83B76">
        <w:rPr>
          <w:rFonts w:ascii="Arial" w:eastAsia="宋体" w:hAnsi="Arial" w:cs="Arial"/>
          <w:color w:val="000000"/>
          <w:kern w:val="0"/>
          <w:szCs w:val="21"/>
        </w:rPr>
        <w:br/>
      </w:r>
      <w:r w:rsidRPr="00D83B76">
        <w:rPr>
          <w:rFonts w:ascii="Arial" w:eastAsia="宋体" w:hAnsi="Arial" w:cs="Arial"/>
          <w:color w:val="000000"/>
          <w:kern w:val="0"/>
          <w:sz w:val="24"/>
          <w:szCs w:val="24"/>
        </w:rPr>
        <w:t xml:space="preserve">　　联系人：周失、程锦</w:t>
      </w:r>
      <w:r w:rsidRPr="00D83B76">
        <w:rPr>
          <w:rFonts w:ascii="Arial" w:eastAsia="宋体" w:hAnsi="Arial" w:cs="Arial"/>
          <w:color w:val="000000"/>
          <w:kern w:val="0"/>
          <w:szCs w:val="21"/>
        </w:rPr>
        <w:br/>
      </w:r>
      <w:r w:rsidRPr="00D83B76">
        <w:rPr>
          <w:rFonts w:ascii="Arial" w:eastAsia="宋体" w:hAnsi="Arial" w:cs="Arial"/>
          <w:color w:val="000000"/>
          <w:kern w:val="0"/>
          <w:sz w:val="24"/>
          <w:szCs w:val="24"/>
        </w:rPr>
        <w:t xml:space="preserve">　　电　话：</w:t>
      </w:r>
      <w:r w:rsidRPr="00D83B76">
        <w:rPr>
          <w:rFonts w:ascii="Arial" w:eastAsia="宋体" w:hAnsi="Arial" w:cs="Arial"/>
          <w:color w:val="000000"/>
          <w:kern w:val="0"/>
          <w:sz w:val="24"/>
          <w:szCs w:val="24"/>
        </w:rPr>
        <w:t>010-68441563</w:t>
      </w:r>
      <w:r w:rsidRPr="00D83B76">
        <w:rPr>
          <w:rFonts w:ascii="Arial" w:eastAsia="宋体" w:hAnsi="Arial" w:cs="Arial"/>
          <w:color w:val="000000"/>
          <w:kern w:val="0"/>
          <w:sz w:val="24"/>
          <w:szCs w:val="24"/>
        </w:rPr>
        <w:t>、</w:t>
      </w:r>
      <w:r w:rsidRPr="00D83B76">
        <w:rPr>
          <w:rFonts w:ascii="Arial" w:eastAsia="宋体" w:hAnsi="Arial" w:cs="Arial"/>
          <w:color w:val="000000"/>
          <w:kern w:val="0"/>
          <w:sz w:val="24"/>
          <w:szCs w:val="24"/>
        </w:rPr>
        <w:t>010-88331453</w:t>
      </w:r>
      <w:r w:rsidRPr="00D83B76">
        <w:rPr>
          <w:rFonts w:ascii="Arial" w:eastAsia="宋体" w:hAnsi="Arial" w:cs="Arial"/>
          <w:color w:val="000000"/>
          <w:kern w:val="0"/>
          <w:szCs w:val="21"/>
        </w:rPr>
        <w:br/>
      </w:r>
      <w:r w:rsidRPr="00D83B76">
        <w:rPr>
          <w:rFonts w:ascii="Arial" w:eastAsia="宋体" w:hAnsi="Arial" w:cs="Arial"/>
          <w:color w:val="000000"/>
          <w:kern w:val="0"/>
          <w:sz w:val="24"/>
          <w:szCs w:val="24"/>
        </w:rPr>
        <w:t xml:space="preserve">　　电子邮箱：</w:t>
      </w:r>
      <w:r w:rsidRPr="00D83B76">
        <w:rPr>
          <w:rFonts w:ascii="Arial" w:eastAsia="宋体" w:hAnsi="Arial" w:cs="Arial"/>
          <w:color w:val="000000"/>
          <w:kern w:val="0"/>
          <w:sz w:val="24"/>
          <w:szCs w:val="24"/>
        </w:rPr>
        <w:t>zhous@cfdi.org.cn</w:t>
      </w:r>
    </w:p>
    <w:p w:rsidR="00D83B76" w:rsidRPr="00D83B76" w:rsidRDefault="00D83B76" w:rsidP="00D83B76">
      <w:pPr>
        <w:widowControl/>
        <w:spacing w:before="100" w:beforeAutospacing="1" w:after="100" w:afterAutospacing="1" w:line="480" w:lineRule="auto"/>
        <w:jc w:val="left"/>
        <w:rPr>
          <w:rFonts w:ascii="Arial" w:eastAsia="宋体" w:hAnsi="Arial" w:cs="Arial"/>
          <w:color w:val="000000"/>
          <w:kern w:val="0"/>
          <w:sz w:val="24"/>
          <w:szCs w:val="24"/>
        </w:rPr>
      </w:pPr>
      <w:r w:rsidRPr="00D83B76">
        <w:rPr>
          <w:rFonts w:ascii="Arial" w:eastAsia="宋体" w:hAnsi="Arial" w:cs="Arial"/>
          <w:color w:val="000000"/>
          <w:kern w:val="0"/>
          <w:sz w:val="24"/>
          <w:szCs w:val="24"/>
        </w:rPr>
        <w:t xml:space="preserve">　　附件：医疗器械临床试验检查要点及判定原则（征求意见稿）</w:t>
      </w:r>
    </w:p>
    <w:p w:rsidR="00D83B76" w:rsidRPr="00D83B76" w:rsidRDefault="00D83B76" w:rsidP="00D83B76">
      <w:pPr>
        <w:widowControl/>
        <w:spacing w:before="100" w:beforeAutospacing="1" w:after="100" w:afterAutospacing="1" w:line="480" w:lineRule="auto"/>
        <w:jc w:val="right"/>
        <w:rPr>
          <w:rFonts w:ascii="Arial" w:eastAsia="宋体" w:hAnsi="Arial" w:cs="Arial"/>
          <w:color w:val="000000"/>
          <w:kern w:val="0"/>
          <w:sz w:val="24"/>
          <w:szCs w:val="24"/>
        </w:rPr>
      </w:pPr>
      <w:r w:rsidRPr="00D83B76">
        <w:rPr>
          <w:rFonts w:ascii="Arial" w:eastAsia="宋体" w:hAnsi="Arial" w:cs="Arial"/>
          <w:color w:val="000000"/>
          <w:kern w:val="0"/>
          <w:szCs w:val="21"/>
        </w:rPr>
        <w:br/>
      </w:r>
      <w:r w:rsidRPr="00D83B76">
        <w:rPr>
          <w:rFonts w:ascii="Arial" w:eastAsia="宋体" w:hAnsi="Arial" w:cs="Arial"/>
          <w:color w:val="000000"/>
          <w:kern w:val="0"/>
          <w:sz w:val="24"/>
          <w:szCs w:val="24"/>
        </w:rPr>
        <w:t>国家药品监督管理局办公室</w:t>
      </w:r>
      <w:r w:rsidRPr="00D83B76">
        <w:rPr>
          <w:rFonts w:ascii="Arial" w:eastAsia="宋体" w:hAnsi="Arial" w:cs="Arial"/>
          <w:color w:val="000000"/>
          <w:kern w:val="0"/>
          <w:szCs w:val="21"/>
        </w:rPr>
        <w:br/>
      </w:r>
      <w:r w:rsidRPr="00D83B76">
        <w:rPr>
          <w:rFonts w:ascii="Arial" w:eastAsia="宋体" w:hAnsi="Arial" w:cs="Arial"/>
          <w:color w:val="000000"/>
          <w:kern w:val="0"/>
          <w:sz w:val="24"/>
          <w:szCs w:val="24"/>
        </w:rPr>
        <w:t>2018</w:t>
      </w:r>
      <w:r w:rsidRPr="00D83B76">
        <w:rPr>
          <w:rFonts w:ascii="Arial" w:eastAsia="宋体" w:hAnsi="Arial" w:cs="Arial"/>
          <w:color w:val="000000"/>
          <w:kern w:val="0"/>
          <w:sz w:val="24"/>
          <w:szCs w:val="24"/>
        </w:rPr>
        <w:t>年</w:t>
      </w:r>
      <w:r w:rsidRPr="00D83B76">
        <w:rPr>
          <w:rFonts w:ascii="Arial" w:eastAsia="宋体" w:hAnsi="Arial" w:cs="Arial"/>
          <w:color w:val="000000"/>
          <w:kern w:val="0"/>
          <w:sz w:val="24"/>
          <w:szCs w:val="24"/>
        </w:rPr>
        <w:t>5</w:t>
      </w:r>
      <w:r w:rsidRPr="00D83B76">
        <w:rPr>
          <w:rFonts w:ascii="Arial" w:eastAsia="宋体" w:hAnsi="Arial" w:cs="Arial"/>
          <w:color w:val="000000"/>
          <w:kern w:val="0"/>
          <w:sz w:val="24"/>
          <w:szCs w:val="24"/>
        </w:rPr>
        <w:t>月</w:t>
      </w:r>
      <w:r w:rsidRPr="00D83B76">
        <w:rPr>
          <w:rFonts w:ascii="Arial" w:eastAsia="宋体" w:hAnsi="Arial" w:cs="Arial"/>
          <w:color w:val="000000"/>
          <w:kern w:val="0"/>
          <w:sz w:val="24"/>
          <w:szCs w:val="24"/>
        </w:rPr>
        <w:t>31</w:t>
      </w:r>
      <w:r w:rsidRPr="00D83B76">
        <w:rPr>
          <w:rFonts w:ascii="Arial" w:eastAsia="宋体" w:hAnsi="Arial" w:cs="Arial"/>
          <w:color w:val="000000"/>
          <w:kern w:val="0"/>
          <w:sz w:val="24"/>
          <w:szCs w:val="24"/>
        </w:rPr>
        <w:t>日</w:t>
      </w:r>
    </w:p>
    <w:p w:rsidR="00B27524" w:rsidRDefault="00B27524">
      <w:pPr>
        <w:rPr>
          <w:rFonts w:hint="eastAsia"/>
        </w:rPr>
      </w:pPr>
    </w:p>
    <w:p w:rsidR="00D83B76" w:rsidRDefault="00D83B76" w:rsidP="00D83B76">
      <w:pPr>
        <w:spacing w:line="640" w:lineRule="exact"/>
        <w:rPr>
          <w:rFonts w:ascii="黑体" w:eastAsia="黑体" w:hAnsi="黑体" w:cs="仿宋_GB2312"/>
          <w:sz w:val="32"/>
          <w:szCs w:val="32"/>
        </w:rPr>
      </w:pPr>
      <w:r>
        <w:rPr>
          <w:rFonts w:ascii="黑体" w:eastAsia="黑体" w:hAnsi="黑体" w:cs="仿宋_GB2312" w:hint="eastAsia"/>
          <w:sz w:val="32"/>
          <w:szCs w:val="32"/>
        </w:rPr>
        <w:t>附件</w:t>
      </w:r>
    </w:p>
    <w:p w:rsidR="00D83B76" w:rsidRDefault="00D83B76" w:rsidP="00D83B76">
      <w:pPr>
        <w:adjustRightInd w:val="0"/>
        <w:snapToGrid w:val="0"/>
        <w:spacing w:line="640" w:lineRule="exact"/>
        <w:rPr>
          <w:rFonts w:ascii="黑体" w:eastAsia="黑体" w:hAnsi="黑体" w:cs="仿宋_GB2312" w:hint="eastAsia"/>
          <w:sz w:val="32"/>
          <w:szCs w:val="32"/>
        </w:rPr>
      </w:pPr>
    </w:p>
    <w:p w:rsidR="00D83B76" w:rsidRDefault="00D83B76" w:rsidP="00D83B76">
      <w:pPr>
        <w:adjustRightInd w:val="0"/>
        <w:snapToGrid w:val="0"/>
        <w:spacing w:line="640" w:lineRule="exact"/>
        <w:jc w:val="center"/>
        <w:rPr>
          <w:rFonts w:ascii="方正小标宋简体" w:eastAsia="方正小标宋简体" w:hAnsi="仿宋" w:cs="仿宋_GB2312" w:hint="eastAsia"/>
          <w:sz w:val="44"/>
          <w:szCs w:val="44"/>
        </w:rPr>
      </w:pPr>
      <w:r>
        <w:rPr>
          <w:rFonts w:ascii="方正小标宋简体" w:eastAsia="方正小标宋简体" w:hAnsi="仿宋" w:cs="仿宋_GB2312" w:hint="eastAsia"/>
          <w:sz w:val="44"/>
          <w:szCs w:val="44"/>
        </w:rPr>
        <w:t>医疗器械临床试验检查要点及判定原则</w:t>
      </w:r>
    </w:p>
    <w:p w:rsidR="00D83B76" w:rsidRDefault="00D83B76" w:rsidP="00D83B76">
      <w:pPr>
        <w:adjustRightInd w:val="0"/>
        <w:snapToGrid w:val="0"/>
        <w:spacing w:line="640" w:lineRule="exact"/>
        <w:jc w:val="center"/>
        <w:rPr>
          <w:rFonts w:ascii="方正小标宋简体" w:eastAsia="方正小标宋简体" w:hAnsi="仿宋" w:cs="仿宋_GB2312" w:hint="eastAsia"/>
          <w:sz w:val="44"/>
          <w:szCs w:val="44"/>
        </w:rPr>
      </w:pPr>
      <w:r>
        <w:rPr>
          <w:rFonts w:ascii="方正小标宋简体" w:eastAsia="方正小标宋简体" w:hAnsi="仿宋" w:cs="仿宋_GB2312" w:hint="eastAsia"/>
          <w:sz w:val="44"/>
          <w:szCs w:val="44"/>
        </w:rPr>
        <w:t>（征求意见稿）</w:t>
      </w:r>
    </w:p>
    <w:p w:rsidR="00D83B76" w:rsidRDefault="00D83B76" w:rsidP="00D83B76">
      <w:pPr>
        <w:adjustRightInd w:val="0"/>
        <w:snapToGrid w:val="0"/>
        <w:spacing w:line="640" w:lineRule="exact"/>
        <w:jc w:val="center"/>
        <w:rPr>
          <w:rFonts w:ascii="方正小标宋简体" w:eastAsia="方正小标宋简体" w:hAnsi="仿宋" w:cs="仿宋_GB2312" w:hint="eastAsia"/>
          <w:sz w:val="44"/>
          <w:szCs w:val="44"/>
        </w:rPr>
      </w:pPr>
    </w:p>
    <w:p w:rsidR="00D83B76" w:rsidRDefault="00D83B76" w:rsidP="00D83B76">
      <w:pPr>
        <w:spacing w:line="600" w:lineRule="exact"/>
        <w:ind w:firstLineChars="221" w:firstLine="707"/>
        <w:rPr>
          <w:rFonts w:ascii="Times New Roman" w:eastAsia="仿宋_GB2312" w:hAnsi="Times New Roman" w:cs="Times New Roman" w:hint="eastAsia"/>
          <w:sz w:val="32"/>
          <w:szCs w:val="32"/>
        </w:rPr>
      </w:pPr>
      <w:r>
        <w:rPr>
          <w:rFonts w:eastAsia="仿宋_GB2312" w:hint="eastAsia"/>
          <w:sz w:val="32"/>
          <w:szCs w:val="32"/>
        </w:rPr>
        <w:t>根据《医疗器械监督管理条例》《医疗器械注册管理办法》《体外诊断试剂注册管理办法》《医疗器械临床试验质量</w:t>
      </w:r>
      <w:r>
        <w:rPr>
          <w:rFonts w:eastAsia="仿宋_GB2312" w:hint="eastAsia"/>
          <w:sz w:val="32"/>
          <w:szCs w:val="32"/>
        </w:rPr>
        <w:lastRenderedPageBreak/>
        <w:t>管理规范》《体外诊断试剂临床试验技术指导原则》等相关要求制订。</w:t>
      </w:r>
    </w:p>
    <w:tbl>
      <w:tblPr>
        <w:tblW w:w="5000" w:type="pct"/>
        <w:tblLook w:val="04A0" w:firstRow="1" w:lastRow="0" w:firstColumn="1" w:lastColumn="0" w:noHBand="0" w:noVBand="1"/>
      </w:tblPr>
      <w:tblGrid>
        <w:gridCol w:w="827"/>
        <w:gridCol w:w="4022"/>
        <w:gridCol w:w="3673"/>
      </w:tblGrid>
      <w:tr w:rsidR="00D83B76" w:rsidTr="00D83B76">
        <w:trPr>
          <w:trHeight w:val="37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widowControl/>
              <w:adjustRightInd w:val="0"/>
              <w:snapToGrid w:val="0"/>
              <w:jc w:val="center"/>
              <w:rPr>
                <w:rFonts w:ascii="黑体" w:eastAsia="黑体" w:hAnsi="黑体"/>
                <w:bCs/>
                <w:color w:val="000000"/>
                <w:kern w:val="0"/>
                <w:sz w:val="32"/>
                <w:szCs w:val="32"/>
              </w:rPr>
            </w:pPr>
            <w:r>
              <w:rPr>
                <w:rFonts w:ascii="黑体" w:eastAsia="黑体" w:hAnsi="黑体" w:hint="eastAsia"/>
                <w:bCs/>
                <w:color w:val="000000"/>
                <w:kern w:val="0"/>
                <w:sz w:val="32"/>
                <w:szCs w:val="32"/>
              </w:rPr>
              <w:t>序号</w:t>
            </w:r>
          </w:p>
        </w:tc>
        <w:tc>
          <w:tcPr>
            <w:tcW w:w="2360" w:type="pct"/>
            <w:tcBorders>
              <w:top w:val="single" w:sz="18" w:space="0" w:color="auto"/>
              <w:left w:val="nil"/>
              <w:bottom w:val="single" w:sz="18" w:space="0" w:color="auto"/>
              <w:right w:val="single" w:sz="18" w:space="0" w:color="auto"/>
            </w:tcBorders>
            <w:vAlign w:val="center"/>
            <w:hideMark/>
          </w:tcPr>
          <w:p w:rsidR="00D83B76" w:rsidRDefault="00D83B76">
            <w:pPr>
              <w:widowControl/>
              <w:adjustRightInd w:val="0"/>
              <w:snapToGrid w:val="0"/>
              <w:jc w:val="center"/>
              <w:rPr>
                <w:rFonts w:ascii="黑体" w:eastAsia="黑体" w:hAnsi="黑体"/>
                <w:bCs/>
                <w:color w:val="000000"/>
                <w:kern w:val="0"/>
                <w:sz w:val="32"/>
                <w:szCs w:val="32"/>
              </w:rPr>
            </w:pPr>
            <w:r>
              <w:rPr>
                <w:rFonts w:ascii="黑体" w:eastAsia="黑体" w:hAnsi="黑体" w:hint="eastAsia"/>
                <w:bCs/>
                <w:color w:val="000000"/>
                <w:kern w:val="0"/>
                <w:sz w:val="32"/>
                <w:szCs w:val="32"/>
              </w:rPr>
              <w:t>检查要点</w:t>
            </w:r>
          </w:p>
        </w:tc>
        <w:tc>
          <w:tcPr>
            <w:tcW w:w="2155" w:type="pct"/>
            <w:tcBorders>
              <w:top w:val="single" w:sz="18" w:space="0" w:color="auto"/>
              <w:left w:val="nil"/>
              <w:bottom w:val="single" w:sz="18" w:space="0" w:color="auto"/>
              <w:right w:val="single" w:sz="18" w:space="0" w:color="auto"/>
            </w:tcBorders>
            <w:hideMark/>
          </w:tcPr>
          <w:p w:rsidR="00D83B76" w:rsidRDefault="00D83B76">
            <w:pPr>
              <w:widowControl/>
              <w:adjustRightInd w:val="0"/>
              <w:snapToGrid w:val="0"/>
              <w:jc w:val="center"/>
              <w:rPr>
                <w:rFonts w:ascii="黑体" w:eastAsia="黑体" w:hAnsi="黑体"/>
                <w:bCs/>
                <w:color w:val="000000"/>
                <w:kern w:val="0"/>
                <w:sz w:val="32"/>
                <w:szCs w:val="32"/>
              </w:rPr>
            </w:pPr>
            <w:r>
              <w:rPr>
                <w:rFonts w:ascii="黑体" w:eastAsia="黑体" w:hAnsi="黑体" w:hint="eastAsia"/>
                <w:bCs/>
                <w:color w:val="000000"/>
                <w:kern w:val="0"/>
                <w:sz w:val="32"/>
                <w:szCs w:val="32"/>
              </w:rPr>
              <w:t>检查方法</w:t>
            </w:r>
          </w:p>
        </w:tc>
      </w:tr>
      <w:tr w:rsidR="00D83B76" w:rsidTr="00D83B76">
        <w:trPr>
          <w:trHeight w:val="40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b/>
                <w:sz w:val="24"/>
                <w:szCs w:val="24"/>
              </w:rPr>
            </w:pPr>
            <w:r>
              <w:rPr>
                <w:rFonts w:eastAsia="仿宋_GB2312"/>
                <w:b/>
                <w:sz w:val="24"/>
              </w:rPr>
              <w:t>1</w:t>
            </w:r>
          </w:p>
        </w:tc>
        <w:tc>
          <w:tcPr>
            <w:tcW w:w="4515" w:type="pct"/>
            <w:gridSpan w:val="2"/>
            <w:tcBorders>
              <w:top w:val="single" w:sz="18"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b/>
                <w:sz w:val="24"/>
                <w:szCs w:val="24"/>
              </w:rPr>
            </w:pPr>
            <w:r>
              <w:rPr>
                <w:rFonts w:eastAsia="仿宋_GB2312" w:hint="eastAsia"/>
                <w:b/>
                <w:sz w:val="24"/>
              </w:rPr>
              <w:t>临床试验前准备</w:t>
            </w:r>
          </w:p>
        </w:tc>
      </w:tr>
      <w:tr w:rsidR="00D83B76" w:rsidTr="00D83B76">
        <w:trPr>
          <w:trHeight w:val="2975"/>
        </w:trPr>
        <w:tc>
          <w:tcPr>
            <w:tcW w:w="485" w:type="pct"/>
            <w:tcBorders>
              <w:top w:val="single" w:sz="18" w:space="0" w:color="auto"/>
              <w:left w:val="single" w:sz="18" w:space="0" w:color="auto"/>
              <w:bottom w:val="single" w:sz="4"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1.1</w:t>
            </w:r>
          </w:p>
        </w:tc>
        <w:tc>
          <w:tcPr>
            <w:tcW w:w="2360" w:type="pct"/>
            <w:tcBorders>
              <w:top w:val="single" w:sz="18" w:space="0" w:color="auto"/>
              <w:left w:val="nil"/>
              <w:bottom w:val="single" w:sz="4"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临床试验机构应具有开展相关医疗器械产品临床试验的资质</w:t>
            </w:r>
          </w:p>
        </w:tc>
        <w:tc>
          <w:tcPr>
            <w:tcW w:w="2155" w:type="pct"/>
            <w:tcBorders>
              <w:top w:val="single" w:sz="18" w:space="0" w:color="auto"/>
              <w:left w:val="nil"/>
              <w:bottom w:val="single" w:sz="4"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登</w:t>
            </w:r>
            <w:r>
              <w:rPr>
                <w:rFonts w:eastAsia="仿宋_GB2312" w:hint="eastAsia"/>
                <w:color w:val="000000"/>
                <w:sz w:val="24"/>
              </w:rPr>
              <w:t>录</w:t>
            </w:r>
            <w:r>
              <w:rPr>
                <w:rFonts w:eastAsia="仿宋_GB2312" w:hint="eastAsia"/>
                <w:sz w:val="24"/>
              </w:rPr>
              <w:t>国家药品监督管理局网站，查询药物临床试验机构认定公告，临床试验机构为经资格认定的药物临床试验机构（</w:t>
            </w:r>
            <w:r>
              <w:rPr>
                <w:rFonts w:eastAsia="仿宋_GB2312"/>
                <w:sz w:val="24"/>
              </w:rPr>
              <w:t>2019</w:t>
            </w:r>
            <w:r>
              <w:rPr>
                <w:rFonts w:eastAsia="仿宋_GB2312" w:hint="eastAsia"/>
                <w:sz w:val="24"/>
              </w:rPr>
              <w:t>年以前开展的试验项目），或查询医疗器械临床试验机构备案管理信息系统</w:t>
            </w:r>
            <w:r>
              <w:rPr>
                <w:rFonts w:eastAsia="仿宋_GB2312"/>
                <w:sz w:val="24"/>
              </w:rPr>
              <w:t>,</w:t>
            </w:r>
            <w:r>
              <w:rPr>
                <w:rFonts w:eastAsia="仿宋_GB2312" w:hint="eastAsia"/>
                <w:sz w:val="24"/>
              </w:rPr>
              <w:t>备案日期早于临床试验开始日期</w:t>
            </w:r>
          </w:p>
        </w:tc>
      </w:tr>
      <w:tr w:rsidR="00D83B76" w:rsidTr="00D83B76">
        <w:trPr>
          <w:trHeight w:val="983"/>
        </w:trPr>
        <w:tc>
          <w:tcPr>
            <w:tcW w:w="485" w:type="pct"/>
            <w:tcBorders>
              <w:top w:val="single" w:sz="4"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1.2</w:t>
            </w:r>
          </w:p>
        </w:tc>
        <w:tc>
          <w:tcPr>
            <w:tcW w:w="2360" w:type="pct"/>
            <w:tcBorders>
              <w:top w:val="single" w:sz="4"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需要进行临床试验审批的第三类医疗器械应获得批准</w:t>
            </w:r>
          </w:p>
        </w:tc>
        <w:tc>
          <w:tcPr>
            <w:tcW w:w="2155" w:type="pct"/>
            <w:tcBorders>
              <w:top w:val="single" w:sz="4"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具有医疗器械临床试验批件</w:t>
            </w:r>
          </w:p>
        </w:tc>
      </w:tr>
      <w:tr w:rsidR="00D83B76" w:rsidTr="00D83B76">
        <w:trPr>
          <w:trHeight w:val="1404"/>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临床试验项目按相关规定备案</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具备省局出具的《医疗器械临床试验备案表》，备案日期早于临床试验开始日期</w:t>
            </w:r>
          </w:p>
        </w:tc>
      </w:tr>
      <w:tr w:rsidR="00D83B76" w:rsidTr="00D83B76">
        <w:trPr>
          <w:trHeight w:val="1537"/>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1.4</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临床试验应获得临床试验机构伦理委员会批准</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具有伦理审查批件，批准日期早于临床试验开始日期</w:t>
            </w:r>
            <w:r>
              <w:rPr>
                <w:rFonts w:eastAsia="仿宋_GB2312"/>
                <w:sz w:val="24"/>
              </w:rPr>
              <w:t xml:space="preserve">, </w:t>
            </w:r>
            <w:r>
              <w:rPr>
                <w:rFonts w:eastAsia="仿宋_GB2312" w:hint="eastAsia"/>
                <w:sz w:val="24"/>
              </w:rPr>
              <w:t>备案日期早于临床试验开始日期</w:t>
            </w:r>
          </w:p>
        </w:tc>
      </w:tr>
      <w:tr w:rsidR="00D83B76" w:rsidTr="00D83B76">
        <w:trPr>
          <w:trHeight w:val="1331"/>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1.5</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试验用医疗器械研制符合适用的医疗器械质量管理体系相关要求</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具有试验用医疗器械的研制符合适用的医疗器械质量管理体系相关要求的声明</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1.6</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试验用医疗器械有自检</w:t>
            </w:r>
            <w:r>
              <w:rPr>
                <w:rFonts w:eastAsia="仿宋_GB2312" w:hint="eastAsia"/>
                <w:color w:val="000000"/>
                <w:sz w:val="24"/>
              </w:rPr>
              <w:t>报告和</w:t>
            </w:r>
            <w:r>
              <w:rPr>
                <w:rFonts w:eastAsia="仿宋_GB2312" w:hint="eastAsia"/>
                <w:sz w:val="24"/>
              </w:rPr>
              <w:t>具有资质的检验机构出具的一年内的产品注册检验合格报告，体外诊断试剂有产品注册检验合格报告</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具有相应检验报告</w:t>
            </w:r>
          </w:p>
        </w:tc>
      </w:tr>
      <w:tr w:rsidR="00D83B76" w:rsidTr="00D83B76">
        <w:trPr>
          <w:trHeight w:val="1034"/>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1.7</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临床试验机构设施和条件与临床试验项目相适应</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具备试验方案中涉及的主要仪器设备及设施条件</w:t>
            </w:r>
          </w:p>
        </w:tc>
      </w:tr>
      <w:tr w:rsidR="00D83B76" w:rsidTr="00D83B76">
        <w:trPr>
          <w:trHeight w:val="1372"/>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lastRenderedPageBreak/>
              <w:t>1.8</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临床试验机构具有医学或实验室操作的质控证明（若有）</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临床检验室开展临床检验室内质量控制，具有临床检验室间质量评价合格证书</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1.9</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试验相关仪器和设备应定期维护和校准</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试验相关仪器和设备有维护、校准记录</w:t>
            </w:r>
          </w:p>
        </w:tc>
      </w:tr>
      <w:tr w:rsidR="00D83B76" w:rsidTr="00D83B76">
        <w:trPr>
          <w:trHeight w:val="2094"/>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1.10</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研究者应具有执业资格、临床试验的专业特长、资格和能力</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color w:val="FF0000"/>
                <w:sz w:val="24"/>
                <w:szCs w:val="24"/>
              </w:rPr>
            </w:pPr>
            <w:r>
              <w:rPr>
                <w:rFonts w:eastAsia="仿宋_GB2312" w:hint="eastAsia"/>
                <w:sz w:val="24"/>
              </w:rPr>
              <w:t>检查研究者的执业资格、职称证书、履历等，负责临床试验的研究者应当在该临床试验机构中具有副主任医师、副教授、副研究员等副高级以上相关专业技术职称和资质</w:t>
            </w:r>
          </w:p>
        </w:tc>
      </w:tr>
      <w:tr w:rsidR="00D83B76" w:rsidTr="00D83B76">
        <w:trPr>
          <w:trHeight w:val="1756"/>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1.11</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研究者经过临床试验方案和试验用医疗器械</w:t>
            </w:r>
            <w:r>
              <w:rPr>
                <w:rFonts w:eastAsia="仿宋_GB2312"/>
                <w:sz w:val="24"/>
              </w:rPr>
              <w:t>/</w:t>
            </w:r>
            <w:r>
              <w:rPr>
                <w:rFonts w:eastAsia="仿宋_GB2312" w:hint="eastAsia"/>
                <w:sz w:val="24"/>
              </w:rPr>
              <w:t>体外诊断试剂使用和维护的培训</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研究者有临床试验方案和试验用医疗器械</w:t>
            </w:r>
            <w:r>
              <w:rPr>
                <w:rFonts w:eastAsia="仿宋_GB2312"/>
                <w:sz w:val="24"/>
              </w:rPr>
              <w:t>/</w:t>
            </w:r>
            <w:r>
              <w:rPr>
                <w:rFonts w:eastAsia="仿宋_GB2312" w:hint="eastAsia"/>
                <w:sz w:val="24"/>
              </w:rPr>
              <w:t>体外诊断试剂使用和维护的培训记录，培训日期早于临床试验开始日期</w:t>
            </w:r>
          </w:p>
        </w:tc>
      </w:tr>
      <w:tr w:rsidR="00D83B76" w:rsidTr="00D83B76">
        <w:trPr>
          <w:trHeight w:val="684"/>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1.12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体外诊断试剂应进行临床试验的</w:t>
            </w:r>
            <w:proofErr w:type="gramStart"/>
            <w:r>
              <w:rPr>
                <w:rFonts w:eastAsia="仿宋_GB2312" w:hint="eastAsia"/>
                <w:sz w:val="24"/>
              </w:rPr>
              <w:t>预试验</w:t>
            </w:r>
            <w:proofErr w:type="gramEnd"/>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具有体外诊断试剂</w:t>
            </w:r>
            <w:proofErr w:type="gramStart"/>
            <w:r>
              <w:rPr>
                <w:rFonts w:eastAsia="仿宋_GB2312" w:hint="eastAsia"/>
                <w:sz w:val="24"/>
              </w:rPr>
              <w:t>预试验</w:t>
            </w:r>
            <w:proofErr w:type="gramEnd"/>
            <w:r>
              <w:rPr>
                <w:rFonts w:eastAsia="仿宋_GB2312" w:hint="eastAsia"/>
                <w:sz w:val="24"/>
              </w:rPr>
              <w:t>记录</w:t>
            </w:r>
          </w:p>
        </w:tc>
      </w:tr>
      <w:tr w:rsidR="00D83B76" w:rsidTr="00D83B76">
        <w:trPr>
          <w:trHeight w:val="89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1.13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临床试验签署临床试验协议</w:t>
            </w:r>
            <w:r>
              <w:rPr>
                <w:rFonts w:eastAsia="仿宋_GB2312"/>
                <w:sz w:val="24"/>
              </w:rPr>
              <w:t>/</w:t>
            </w:r>
            <w:r>
              <w:rPr>
                <w:rFonts w:eastAsia="仿宋_GB2312" w:hint="eastAsia"/>
                <w:sz w:val="24"/>
              </w:rPr>
              <w:t>合同</w:t>
            </w:r>
            <w:r>
              <w:rPr>
                <w:rFonts w:eastAsia="仿宋_GB2312"/>
                <w:sz w:val="24"/>
              </w:rPr>
              <w:t xml:space="preserve"> </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具有申办者与临床试验机构签订的协议</w:t>
            </w:r>
            <w:r>
              <w:rPr>
                <w:rFonts w:eastAsia="仿宋_GB2312"/>
                <w:sz w:val="24"/>
              </w:rPr>
              <w:t>/</w:t>
            </w:r>
            <w:r>
              <w:rPr>
                <w:rFonts w:eastAsia="仿宋_GB2312" w:hint="eastAsia"/>
                <w:sz w:val="24"/>
              </w:rPr>
              <w:t>合同，规定了各自职责</w:t>
            </w:r>
          </w:p>
        </w:tc>
      </w:tr>
      <w:tr w:rsidR="00D83B76" w:rsidTr="00D83B76">
        <w:trPr>
          <w:trHeight w:val="974"/>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1.14</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协议</w:t>
            </w:r>
            <w:r>
              <w:rPr>
                <w:rFonts w:eastAsia="仿宋_GB2312"/>
                <w:sz w:val="24"/>
              </w:rPr>
              <w:t>/</w:t>
            </w:r>
            <w:r>
              <w:rPr>
                <w:rFonts w:eastAsia="仿宋_GB2312" w:hint="eastAsia"/>
                <w:sz w:val="24"/>
              </w:rPr>
              <w:t>合同内容与试验用医疗器械</w:t>
            </w:r>
            <w:r>
              <w:rPr>
                <w:rFonts w:eastAsia="仿宋_GB2312"/>
                <w:sz w:val="24"/>
              </w:rPr>
              <w:t>/</w:t>
            </w:r>
            <w:r>
              <w:rPr>
                <w:rFonts w:eastAsia="仿宋_GB2312" w:hint="eastAsia"/>
                <w:sz w:val="24"/>
              </w:rPr>
              <w:t>体外诊断试剂信息相符</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核对协议</w:t>
            </w:r>
            <w:r>
              <w:rPr>
                <w:rFonts w:eastAsia="仿宋_GB2312"/>
                <w:sz w:val="24"/>
              </w:rPr>
              <w:t>/</w:t>
            </w:r>
            <w:r>
              <w:rPr>
                <w:rFonts w:eastAsia="仿宋_GB2312" w:hint="eastAsia"/>
                <w:sz w:val="24"/>
              </w:rPr>
              <w:t>合同与临床试验方案，相关信息一致</w:t>
            </w:r>
          </w:p>
        </w:tc>
      </w:tr>
      <w:tr w:rsidR="00D83B76" w:rsidTr="00D83B76">
        <w:trPr>
          <w:trHeight w:val="40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b/>
                <w:sz w:val="24"/>
                <w:szCs w:val="24"/>
              </w:rPr>
            </w:pPr>
            <w:r>
              <w:rPr>
                <w:rFonts w:eastAsia="仿宋_GB2312"/>
                <w:b/>
                <w:sz w:val="24"/>
              </w:rPr>
              <w:t>2</w:t>
            </w:r>
          </w:p>
        </w:tc>
        <w:tc>
          <w:tcPr>
            <w:tcW w:w="4515" w:type="pct"/>
            <w:gridSpan w:val="2"/>
            <w:tcBorders>
              <w:top w:val="single" w:sz="18" w:space="0" w:color="auto"/>
              <w:left w:val="single" w:sz="4" w:space="0" w:color="auto"/>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b/>
                <w:sz w:val="24"/>
                <w:szCs w:val="24"/>
              </w:rPr>
            </w:pPr>
            <w:r>
              <w:rPr>
                <w:rFonts w:eastAsia="仿宋_GB2312" w:hint="eastAsia"/>
                <w:b/>
                <w:sz w:val="24"/>
              </w:rPr>
              <w:t>受试者权益保障</w:t>
            </w:r>
          </w:p>
        </w:tc>
      </w:tr>
      <w:tr w:rsidR="00D83B76" w:rsidTr="00D83B76">
        <w:trPr>
          <w:trHeight w:val="270"/>
        </w:trPr>
        <w:tc>
          <w:tcPr>
            <w:tcW w:w="485" w:type="pct"/>
            <w:tcBorders>
              <w:top w:val="single" w:sz="18"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2.1</w:t>
            </w:r>
          </w:p>
        </w:tc>
        <w:tc>
          <w:tcPr>
            <w:tcW w:w="4515" w:type="pct"/>
            <w:gridSpan w:val="2"/>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伦理审查</w:t>
            </w:r>
          </w:p>
        </w:tc>
      </w:tr>
      <w:tr w:rsidR="00D83B76" w:rsidTr="00D83B76">
        <w:trPr>
          <w:trHeight w:val="755"/>
        </w:trPr>
        <w:tc>
          <w:tcPr>
            <w:tcW w:w="485" w:type="pct"/>
            <w:tcBorders>
              <w:top w:val="single" w:sz="18"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2.1.1</w:t>
            </w:r>
          </w:p>
        </w:tc>
        <w:tc>
          <w:tcPr>
            <w:tcW w:w="2360"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伦理委员会委员经过培训</w:t>
            </w:r>
          </w:p>
        </w:tc>
        <w:tc>
          <w:tcPr>
            <w:tcW w:w="2155"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具备伦理委员会委员培训记录或培训证书</w:t>
            </w:r>
          </w:p>
        </w:tc>
      </w:tr>
      <w:tr w:rsidR="00D83B76" w:rsidTr="00D83B76">
        <w:trPr>
          <w:trHeight w:val="341"/>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2.1.2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伦理审查内容符合相关规范、指导原则和</w:t>
            </w:r>
            <w:r>
              <w:rPr>
                <w:rFonts w:eastAsia="仿宋_GB2312"/>
                <w:sz w:val="24"/>
              </w:rPr>
              <w:t>SOP</w:t>
            </w:r>
            <w:r>
              <w:rPr>
                <w:rFonts w:eastAsia="仿宋_GB2312" w:hint="eastAsia"/>
                <w:sz w:val="24"/>
              </w:rPr>
              <w:t>要求</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color w:val="000000"/>
                <w:sz w:val="24"/>
                <w:szCs w:val="24"/>
              </w:rPr>
            </w:pPr>
            <w:r>
              <w:rPr>
                <w:rFonts w:eastAsia="仿宋_GB2312" w:hint="eastAsia"/>
                <w:color w:val="000000"/>
                <w:sz w:val="24"/>
              </w:rPr>
              <w:t>伦理审查内容应当符合医疗器械临床试验质量管理规范（以下简称</w:t>
            </w:r>
            <w:r>
              <w:rPr>
                <w:rFonts w:eastAsia="仿宋_GB2312"/>
                <w:color w:val="000000"/>
                <w:sz w:val="24"/>
              </w:rPr>
              <w:t>GCP</w:t>
            </w:r>
            <w:r>
              <w:rPr>
                <w:rFonts w:eastAsia="仿宋_GB2312" w:hint="eastAsia"/>
                <w:color w:val="000000"/>
                <w:sz w:val="24"/>
              </w:rPr>
              <w:t>）第</w:t>
            </w:r>
            <w:r>
              <w:rPr>
                <w:rFonts w:eastAsia="仿宋_GB2312"/>
                <w:color w:val="000000"/>
                <w:sz w:val="24"/>
              </w:rPr>
              <w:t>17</w:t>
            </w:r>
            <w:r>
              <w:rPr>
                <w:rFonts w:eastAsia="仿宋_GB2312" w:hint="eastAsia"/>
                <w:color w:val="000000"/>
                <w:sz w:val="24"/>
              </w:rPr>
              <w:t>、</w:t>
            </w:r>
            <w:r>
              <w:rPr>
                <w:rFonts w:eastAsia="仿宋_GB2312"/>
                <w:color w:val="000000"/>
                <w:sz w:val="24"/>
              </w:rPr>
              <w:t>33</w:t>
            </w:r>
            <w:r>
              <w:rPr>
                <w:rFonts w:eastAsia="仿宋_GB2312" w:hint="eastAsia"/>
                <w:color w:val="000000"/>
                <w:sz w:val="24"/>
              </w:rPr>
              <w:t>条及相关指导原则、</w:t>
            </w:r>
            <w:r>
              <w:rPr>
                <w:rFonts w:eastAsia="仿宋_GB2312"/>
                <w:color w:val="000000"/>
                <w:sz w:val="24"/>
              </w:rPr>
              <w:t>SOP</w:t>
            </w:r>
            <w:r>
              <w:rPr>
                <w:rFonts w:eastAsia="仿宋_GB2312" w:hint="eastAsia"/>
                <w:color w:val="000000"/>
                <w:sz w:val="24"/>
              </w:rPr>
              <w:t>的要求</w:t>
            </w:r>
          </w:p>
        </w:tc>
      </w:tr>
      <w:tr w:rsidR="00D83B76" w:rsidTr="00D83B76">
        <w:trPr>
          <w:trHeight w:val="1663"/>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lastRenderedPageBreak/>
              <w:t>2.1.3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伦理审查记录完整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伦理委员会保存的资料应当完整，具有审查材料、审查表格、签到表、表决票、会议记录、审查批件等</w:t>
            </w:r>
            <w:r>
              <w:rPr>
                <w:rFonts w:eastAsia="仿宋_GB2312"/>
                <w:sz w:val="24"/>
              </w:rPr>
              <w:t>SOP</w:t>
            </w:r>
            <w:r>
              <w:rPr>
                <w:rFonts w:eastAsia="仿宋_GB2312" w:hint="eastAsia"/>
                <w:sz w:val="24"/>
              </w:rPr>
              <w:t>中规定的文件</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2.1.4</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伦理委员会表决符合相关规范、指导原则和</w:t>
            </w:r>
            <w:r>
              <w:rPr>
                <w:rFonts w:eastAsia="仿宋_GB2312"/>
                <w:sz w:val="24"/>
              </w:rPr>
              <w:t>SOP</w:t>
            </w:r>
            <w:r>
              <w:rPr>
                <w:rFonts w:eastAsia="仿宋_GB2312" w:hint="eastAsia"/>
                <w:sz w:val="24"/>
              </w:rPr>
              <w:t>要求</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color w:val="000000"/>
                <w:sz w:val="24"/>
                <w:szCs w:val="24"/>
              </w:rPr>
            </w:pPr>
            <w:r>
              <w:rPr>
                <w:rFonts w:eastAsia="仿宋_GB2312" w:hint="eastAsia"/>
                <w:color w:val="000000"/>
                <w:sz w:val="24"/>
              </w:rPr>
              <w:t>伦理审查意见、伦理委员成员组成、表决记录应当符合医疗器械</w:t>
            </w:r>
            <w:r>
              <w:rPr>
                <w:rFonts w:eastAsia="仿宋_GB2312"/>
                <w:color w:val="000000"/>
                <w:sz w:val="24"/>
              </w:rPr>
              <w:t>GCP</w:t>
            </w:r>
            <w:r>
              <w:rPr>
                <w:rFonts w:eastAsia="仿宋_GB2312" w:hint="eastAsia"/>
                <w:color w:val="000000"/>
                <w:sz w:val="24"/>
              </w:rPr>
              <w:t>第</w:t>
            </w:r>
            <w:r>
              <w:rPr>
                <w:rFonts w:eastAsia="仿宋_GB2312"/>
                <w:color w:val="000000"/>
                <w:sz w:val="24"/>
              </w:rPr>
              <w:t>30</w:t>
            </w:r>
            <w:r>
              <w:rPr>
                <w:rFonts w:eastAsia="仿宋_GB2312" w:hint="eastAsia"/>
                <w:color w:val="000000"/>
                <w:sz w:val="24"/>
              </w:rPr>
              <w:t>、</w:t>
            </w:r>
            <w:r>
              <w:rPr>
                <w:rFonts w:eastAsia="仿宋_GB2312"/>
                <w:color w:val="000000"/>
                <w:sz w:val="24"/>
              </w:rPr>
              <w:t>32</w:t>
            </w:r>
            <w:r>
              <w:rPr>
                <w:rFonts w:eastAsia="仿宋_GB2312" w:hint="eastAsia"/>
                <w:color w:val="000000"/>
                <w:sz w:val="24"/>
              </w:rPr>
              <w:t>、</w:t>
            </w:r>
            <w:r>
              <w:rPr>
                <w:rFonts w:eastAsia="仿宋_GB2312"/>
                <w:color w:val="000000"/>
                <w:sz w:val="24"/>
              </w:rPr>
              <w:t>35</w:t>
            </w:r>
            <w:r>
              <w:rPr>
                <w:rFonts w:eastAsia="仿宋_GB2312" w:hint="eastAsia"/>
                <w:color w:val="000000"/>
                <w:sz w:val="24"/>
              </w:rPr>
              <w:t>条及</w:t>
            </w:r>
            <w:r>
              <w:rPr>
                <w:rFonts w:eastAsia="仿宋_GB2312"/>
                <w:color w:val="000000"/>
                <w:sz w:val="24"/>
              </w:rPr>
              <w:t>SOP</w:t>
            </w:r>
            <w:r>
              <w:rPr>
                <w:rFonts w:eastAsia="仿宋_GB2312" w:hint="eastAsia"/>
                <w:color w:val="000000"/>
                <w:sz w:val="24"/>
              </w:rPr>
              <w:t>要求</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2.1.5</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临床试验方案</w:t>
            </w:r>
            <w:r>
              <w:rPr>
                <w:rFonts w:eastAsia="仿宋_GB2312"/>
                <w:sz w:val="24"/>
              </w:rPr>
              <w:t>/</w:t>
            </w:r>
            <w:r>
              <w:rPr>
                <w:rFonts w:eastAsia="仿宋_GB2312" w:hint="eastAsia"/>
                <w:sz w:val="24"/>
              </w:rPr>
              <w:t>知情同意书等文件的修订、请求偏离、恢复已暂停临床试验，应获得伦理委员会的书面批准</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相关情况具有伦理委员会书面批准文件</w:t>
            </w:r>
          </w:p>
        </w:tc>
      </w:tr>
      <w:tr w:rsidR="00D83B76" w:rsidTr="00D83B76">
        <w:trPr>
          <w:trHeight w:val="540"/>
        </w:trPr>
        <w:tc>
          <w:tcPr>
            <w:tcW w:w="485" w:type="pct"/>
            <w:tcBorders>
              <w:top w:val="dashed" w:sz="6"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2.1.6</w:t>
            </w:r>
          </w:p>
        </w:tc>
        <w:tc>
          <w:tcPr>
            <w:tcW w:w="2360"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伦理委员会对已批准的临床试验进行跟踪监督</w:t>
            </w:r>
          </w:p>
        </w:tc>
        <w:tc>
          <w:tcPr>
            <w:tcW w:w="2155"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对试验时间超过一年的临床试验，有伦理委员会的定期审查记录，定期审查时限最多不超过一年</w:t>
            </w:r>
          </w:p>
        </w:tc>
      </w:tr>
      <w:tr w:rsidR="00D83B76" w:rsidTr="00D83B76">
        <w:trPr>
          <w:trHeight w:val="40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2.2</w:t>
            </w:r>
          </w:p>
        </w:tc>
        <w:tc>
          <w:tcPr>
            <w:tcW w:w="4515" w:type="pct"/>
            <w:gridSpan w:val="2"/>
            <w:tcBorders>
              <w:top w:val="single" w:sz="18"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知情同意（客观上不可能获得受试者知情同意，经伦理委员会审查和批准后可免于受试者的知情同意）</w:t>
            </w:r>
          </w:p>
        </w:tc>
      </w:tr>
      <w:tr w:rsidR="00D83B76" w:rsidTr="00D83B76">
        <w:trPr>
          <w:trHeight w:val="937"/>
        </w:trPr>
        <w:tc>
          <w:tcPr>
            <w:tcW w:w="485" w:type="pct"/>
            <w:tcBorders>
              <w:top w:val="single" w:sz="18"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2.2.1</w:t>
            </w:r>
          </w:p>
        </w:tc>
        <w:tc>
          <w:tcPr>
            <w:tcW w:w="2360"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知情同意书内容符合相关规范、指导原则和</w:t>
            </w:r>
            <w:r>
              <w:rPr>
                <w:rFonts w:eastAsia="仿宋_GB2312"/>
                <w:sz w:val="24"/>
              </w:rPr>
              <w:t>SOP</w:t>
            </w:r>
            <w:r>
              <w:rPr>
                <w:rFonts w:eastAsia="仿宋_GB2312" w:hint="eastAsia"/>
                <w:sz w:val="24"/>
              </w:rPr>
              <w:t>要求</w:t>
            </w:r>
          </w:p>
        </w:tc>
        <w:tc>
          <w:tcPr>
            <w:tcW w:w="2155"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检查知情同意书内容，应当符合</w:t>
            </w:r>
            <w:r>
              <w:rPr>
                <w:rFonts w:eastAsia="仿宋_GB2312"/>
                <w:sz w:val="24"/>
              </w:rPr>
              <w:t>GCP</w:t>
            </w:r>
            <w:r>
              <w:rPr>
                <w:rFonts w:eastAsia="仿宋_GB2312" w:hint="eastAsia"/>
                <w:sz w:val="24"/>
              </w:rPr>
              <w:t>第</w:t>
            </w:r>
            <w:r>
              <w:rPr>
                <w:rFonts w:eastAsia="仿宋_GB2312"/>
                <w:sz w:val="24"/>
              </w:rPr>
              <w:t>22</w:t>
            </w:r>
            <w:r>
              <w:rPr>
                <w:rFonts w:eastAsia="仿宋_GB2312" w:hint="eastAsia"/>
                <w:sz w:val="24"/>
              </w:rPr>
              <w:t>条及相关指导原则、</w:t>
            </w:r>
            <w:r>
              <w:rPr>
                <w:rFonts w:eastAsia="仿宋_GB2312"/>
                <w:sz w:val="24"/>
              </w:rPr>
              <w:t>SOP</w:t>
            </w:r>
            <w:r>
              <w:rPr>
                <w:rFonts w:eastAsia="仿宋_GB2312" w:hint="eastAsia"/>
                <w:sz w:val="24"/>
              </w:rPr>
              <w:t>的要求</w:t>
            </w:r>
          </w:p>
        </w:tc>
      </w:tr>
      <w:tr w:rsidR="00D83B76" w:rsidTr="00D83B76">
        <w:trPr>
          <w:trHeight w:val="2429"/>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2.2.2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临床试验前受试者或者其监护人和研究者均在知情同意书上签署姓名和日期</w:t>
            </w:r>
            <w:r>
              <w:rPr>
                <w:rFonts w:eastAsia="仿宋_GB2312"/>
                <w:sz w:val="24"/>
              </w:rPr>
              <w:t>,</w:t>
            </w:r>
            <w:r>
              <w:rPr>
                <w:rFonts w:eastAsia="仿宋_GB2312" w:hint="eastAsia"/>
                <w:sz w:val="24"/>
              </w:rPr>
              <w:t>符合相关规范、指导原则和</w:t>
            </w:r>
            <w:r>
              <w:rPr>
                <w:rFonts w:eastAsia="仿宋_GB2312"/>
                <w:sz w:val="24"/>
              </w:rPr>
              <w:t>SOP</w:t>
            </w:r>
            <w:r>
              <w:rPr>
                <w:rFonts w:eastAsia="仿宋_GB2312" w:hint="eastAsia"/>
                <w:sz w:val="24"/>
              </w:rPr>
              <w:t>要求（</w:t>
            </w:r>
            <w:r>
              <w:rPr>
                <w:rFonts w:eastAsia="仿宋_GB2312" w:hint="eastAsia"/>
                <w:color w:val="FF00FF"/>
                <w:sz w:val="24"/>
              </w:rPr>
              <w:t>免</w:t>
            </w:r>
            <w:r>
              <w:rPr>
                <w:rFonts w:eastAsia="仿宋_GB2312" w:hint="eastAsia"/>
                <w:sz w:val="24"/>
              </w:rPr>
              <w:t>知情同意除外）</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核对受试者筛选表和签名的知情同意书，人数应当一致，由受试者本人或者其监护人和研究者在参与临床试验前签署，免于知情同意的情形需提供豁免知情说明以及豁免知情说明材料的伦理审查意见或批件</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jc w:val="center"/>
              <w:rPr>
                <w:rFonts w:eastAsia="仿宋_GB2312"/>
              </w:rPr>
            </w:pPr>
            <w:r>
              <w:rPr>
                <w:rFonts w:eastAsia="仿宋_GB2312"/>
                <w:sz w:val="24"/>
              </w:rPr>
              <w:t>2.2.3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已签署的知情同意书版本与伦理审查通过的版本一致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核对知情同意书版本和内容，签署的知情同意书应当与伦理审查通过的版本和内容应一致</w:t>
            </w:r>
          </w:p>
        </w:tc>
      </w:tr>
      <w:tr w:rsidR="00D83B76" w:rsidTr="00D83B76">
        <w:trPr>
          <w:trHeight w:val="270"/>
        </w:trPr>
        <w:tc>
          <w:tcPr>
            <w:tcW w:w="485" w:type="pct"/>
            <w:tcBorders>
              <w:top w:val="dashed" w:sz="6"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2.2.4</w:t>
            </w:r>
          </w:p>
        </w:tc>
        <w:tc>
          <w:tcPr>
            <w:tcW w:w="2360"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知情同意书内容更新，应再次获得临床试验中受影响的受试者或者其监护人知情同意</w:t>
            </w:r>
          </w:p>
        </w:tc>
        <w:tc>
          <w:tcPr>
            <w:tcW w:w="2155"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color w:val="000000"/>
                <w:sz w:val="24"/>
                <w:szCs w:val="24"/>
              </w:rPr>
            </w:pPr>
            <w:r>
              <w:rPr>
                <w:rFonts w:eastAsia="仿宋_GB2312" w:hint="eastAsia"/>
                <w:color w:val="000000"/>
                <w:sz w:val="24"/>
              </w:rPr>
              <w:t>知情同意书更新后，试验中受影响的受试者或者其监护人应当重新签署更新后的知情同意书</w:t>
            </w:r>
          </w:p>
        </w:tc>
      </w:tr>
      <w:tr w:rsidR="00D83B76" w:rsidTr="00D83B76">
        <w:trPr>
          <w:trHeight w:val="40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b/>
                <w:sz w:val="24"/>
                <w:szCs w:val="24"/>
              </w:rPr>
            </w:pPr>
            <w:r>
              <w:rPr>
                <w:rFonts w:eastAsia="仿宋_GB2312"/>
                <w:b/>
                <w:sz w:val="24"/>
              </w:rPr>
              <w:t>3</w:t>
            </w:r>
          </w:p>
        </w:tc>
        <w:tc>
          <w:tcPr>
            <w:tcW w:w="4515" w:type="pct"/>
            <w:gridSpan w:val="2"/>
            <w:tcBorders>
              <w:top w:val="single" w:sz="18"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b/>
                <w:sz w:val="24"/>
                <w:szCs w:val="24"/>
              </w:rPr>
            </w:pPr>
            <w:r>
              <w:rPr>
                <w:rFonts w:eastAsia="仿宋_GB2312" w:hint="eastAsia"/>
                <w:b/>
                <w:sz w:val="24"/>
              </w:rPr>
              <w:t>临床试验方案</w:t>
            </w:r>
          </w:p>
        </w:tc>
      </w:tr>
      <w:tr w:rsidR="00D83B76" w:rsidTr="00D83B76">
        <w:trPr>
          <w:trHeight w:val="984"/>
        </w:trPr>
        <w:tc>
          <w:tcPr>
            <w:tcW w:w="485" w:type="pct"/>
            <w:tcBorders>
              <w:top w:val="single" w:sz="18"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lastRenderedPageBreak/>
              <w:t>3.1</w:t>
            </w:r>
          </w:p>
        </w:tc>
        <w:tc>
          <w:tcPr>
            <w:tcW w:w="2360"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临床试验方案有所有中心研究者和申办者确认</w:t>
            </w:r>
          </w:p>
        </w:tc>
        <w:tc>
          <w:tcPr>
            <w:tcW w:w="2155"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临床试验方案应当具有所有中心研究者和申办者签字和临床试验机构公章</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3.2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执行的临床试验方案内容与伦理审查的临床试验方案内容一致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核对临床试验方案与伦理委员会保存的临床试验方案，版本和内容应当一致</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3.3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多中心临床试验各中心执行的试验方案为同一版本</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核对各临床试验中心保存的临床试验方案版本，应当为同一版本</w:t>
            </w:r>
          </w:p>
        </w:tc>
      </w:tr>
      <w:tr w:rsidR="00D83B76" w:rsidTr="00D83B76">
        <w:trPr>
          <w:trHeight w:val="270"/>
        </w:trPr>
        <w:tc>
          <w:tcPr>
            <w:tcW w:w="485" w:type="pct"/>
            <w:tcBorders>
              <w:top w:val="dashed" w:sz="6"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3.4</w:t>
            </w:r>
          </w:p>
        </w:tc>
        <w:tc>
          <w:tcPr>
            <w:tcW w:w="2360"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注册申请提交的临床试验方案内容应与临床试验机构保存的临床试验方案内容一致</w:t>
            </w:r>
          </w:p>
        </w:tc>
        <w:tc>
          <w:tcPr>
            <w:tcW w:w="2155"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核对注册申请提交的临床试验方案和临床试验机构保存的临床试验方案，版本和内容应一致</w:t>
            </w:r>
          </w:p>
        </w:tc>
      </w:tr>
      <w:tr w:rsidR="00D83B76" w:rsidTr="00D83B76">
        <w:trPr>
          <w:trHeight w:val="270"/>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b/>
                <w:sz w:val="24"/>
                <w:szCs w:val="24"/>
              </w:rPr>
            </w:pPr>
            <w:r>
              <w:rPr>
                <w:rFonts w:eastAsia="仿宋_GB2312"/>
                <w:b/>
                <w:sz w:val="24"/>
              </w:rPr>
              <w:t>4</w:t>
            </w:r>
          </w:p>
        </w:tc>
        <w:tc>
          <w:tcPr>
            <w:tcW w:w="4515" w:type="pct"/>
            <w:gridSpan w:val="2"/>
            <w:tcBorders>
              <w:top w:val="single" w:sz="18"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b/>
                <w:sz w:val="24"/>
                <w:szCs w:val="24"/>
              </w:rPr>
            </w:pPr>
            <w:r>
              <w:rPr>
                <w:rFonts w:eastAsia="仿宋_GB2312" w:hint="eastAsia"/>
                <w:b/>
                <w:sz w:val="24"/>
              </w:rPr>
              <w:t>临床试验过程</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临床试验相关人员应获得主要研究者授权和相关培训</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检查分工授权表和研究者培训记录、签名样张，授权日期在培训之后</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临床试验相关的医疗决定应由研究者负责</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核对人员履历和人员分工表，分工表中人员授权应当合理，原始文件中的医疗决定由研究者签字</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具有病例筛选入选记录</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筛选入选表中患者筛选失败原因与原始病历中的记录应当一致，研究者可提供受试者鉴认文件</w:t>
            </w:r>
          </w:p>
        </w:tc>
      </w:tr>
      <w:tr w:rsidR="00D83B76" w:rsidTr="00D83B76">
        <w:trPr>
          <w:trHeight w:val="945"/>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4.4</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受试者鉴认文件或筛选入选、体检等原始记录涵盖受试者身份鉴别信息</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受试者鉴认文件或筛选入选、体检等原始记录涵盖受试者身份证、姓名等身份鉴别信息</w:t>
            </w:r>
          </w:p>
        </w:tc>
      </w:tr>
      <w:tr w:rsidR="00D83B76" w:rsidTr="00D83B76">
        <w:trPr>
          <w:trHeight w:val="837"/>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4.5</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研究者应遵守临床试验的随机化程序（如适用）</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受试者入选号、随机号的分配应当符合试验方案</w:t>
            </w:r>
          </w:p>
        </w:tc>
      </w:tr>
      <w:tr w:rsidR="00D83B76" w:rsidTr="00D83B76">
        <w:trPr>
          <w:trHeight w:val="1262"/>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4.6</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受试者体检和实验室等辅助检查项目应与试验方案一致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原始病历中的体检和实验室等辅助检查项目应当与方案要求一致，偏离方案的检查应当进行记录</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4.7</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实验室等辅助检查是否在方案规定的时间范围内</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highlight w:val="yellow"/>
              </w:rPr>
            </w:pPr>
            <w:r>
              <w:rPr>
                <w:rFonts w:eastAsia="仿宋_GB2312" w:hint="eastAsia"/>
                <w:sz w:val="24"/>
              </w:rPr>
              <w:t>实验室等辅助检查时间应当在方案规定的时间范围内，偏离时间范围的应当进行记录</w:t>
            </w:r>
          </w:p>
        </w:tc>
      </w:tr>
      <w:tr w:rsidR="00D83B76" w:rsidTr="00D83B76">
        <w:trPr>
          <w:trHeight w:val="1691"/>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lastRenderedPageBreak/>
              <w:t>4.8</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受试者入组符合试验方案的入选与排除标准</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检查原始病历中的病史、用药史、实验室检查、诊断等，受试者应当符合试验方案中的全部入选与排除标准</w:t>
            </w:r>
          </w:p>
        </w:tc>
      </w:tr>
      <w:tr w:rsidR="00D83B76" w:rsidTr="00D83B76">
        <w:trPr>
          <w:trHeight w:val="1543"/>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4.9</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试验用医疗器械</w:t>
            </w:r>
            <w:r>
              <w:rPr>
                <w:rFonts w:eastAsia="仿宋_GB2312"/>
                <w:sz w:val="24"/>
              </w:rPr>
              <w:t>/</w:t>
            </w:r>
            <w:r>
              <w:rPr>
                <w:rFonts w:eastAsia="仿宋_GB2312" w:hint="eastAsia"/>
                <w:sz w:val="24"/>
              </w:rPr>
              <w:t>体外诊断试剂使用有原始记录</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rPr>
                <w:rFonts w:eastAsia="仿宋_GB2312"/>
                <w:sz w:val="24"/>
                <w:szCs w:val="24"/>
              </w:rPr>
            </w:pPr>
            <w:r>
              <w:rPr>
                <w:rFonts w:eastAsia="仿宋_GB2312" w:hint="eastAsia"/>
                <w:sz w:val="24"/>
              </w:rPr>
              <w:t>检查原始病历、器械使用记录、受试者日记卡，应当记录试验用医疗器械</w:t>
            </w:r>
            <w:r>
              <w:rPr>
                <w:rFonts w:eastAsia="仿宋_GB2312"/>
                <w:sz w:val="24"/>
              </w:rPr>
              <w:t>/</w:t>
            </w:r>
            <w:r>
              <w:rPr>
                <w:rFonts w:eastAsia="仿宋_GB2312" w:hint="eastAsia"/>
                <w:sz w:val="24"/>
              </w:rPr>
              <w:t>体外诊断试剂使用情况，并与</w:t>
            </w:r>
            <w:r>
              <w:rPr>
                <w:rFonts w:eastAsia="仿宋_GB2312"/>
                <w:sz w:val="24"/>
              </w:rPr>
              <w:t>CRF</w:t>
            </w:r>
            <w:r>
              <w:rPr>
                <w:rFonts w:eastAsia="仿宋_GB2312" w:hint="eastAsia"/>
                <w:sz w:val="24"/>
              </w:rPr>
              <w:t>中的数据一致</w:t>
            </w:r>
          </w:p>
        </w:tc>
      </w:tr>
      <w:tr w:rsidR="00D83B76" w:rsidTr="00D83B76">
        <w:trPr>
          <w:trHeight w:val="2206"/>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4.10</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试验用医疗器械产品名称、规格型号、使用方法（</w:t>
            </w:r>
            <w:r>
              <w:rPr>
                <w:rFonts w:eastAsia="仿宋_GB2312"/>
                <w:sz w:val="24"/>
              </w:rPr>
              <w:t xml:space="preserve"> </w:t>
            </w:r>
            <w:r>
              <w:rPr>
                <w:rFonts w:eastAsia="仿宋_GB2312" w:hint="eastAsia"/>
                <w:sz w:val="24"/>
              </w:rPr>
              <w:t>如日期、时间、状态等）与试验方案和研究者手册一致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核对原始病历、器械使用记录、受试者日记卡中记录的试验用医疗器械产品名称、规格型号、使用方法</w:t>
            </w:r>
            <w:r>
              <w:rPr>
                <w:rFonts w:eastAsia="仿宋_GB2312"/>
                <w:sz w:val="24"/>
              </w:rPr>
              <w:t>(</w:t>
            </w:r>
            <w:r>
              <w:rPr>
                <w:rFonts w:eastAsia="仿宋_GB2312" w:hint="eastAsia"/>
                <w:sz w:val="24"/>
              </w:rPr>
              <w:t>如日期、时间、状态等</w:t>
            </w:r>
            <w:r>
              <w:rPr>
                <w:rFonts w:eastAsia="仿宋_GB2312"/>
                <w:sz w:val="24"/>
              </w:rPr>
              <w:t>)</w:t>
            </w:r>
            <w:r>
              <w:rPr>
                <w:rFonts w:eastAsia="仿宋_GB2312" w:hint="eastAsia"/>
                <w:sz w:val="24"/>
              </w:rPr>
              <w:t>，应当与试验方案和研究者手册一致</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4.11</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观察随访点与方案一致，应如实记录未能做到的随访、未进行的试验、未做的检查</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核对原始病历中的随访记录，与</w:t>
            </w:r>
            <w:r>
              <w:rPr>
                <w:rFonts w:eastAsia="仿宋_GB2312"/>
                <w:sz w:val="24"/>
              </w:rPr>
              <w:t>CRF</w:t>
            </w:r>
            <w:r>
              <w:rPr>
                <w:rFonts w:eastAsia="仿宋_GB2312" w:hint="eastAsia"/>
                <w:sz w:val="24"/>
              </w:rPr>
              <w:t>、中的数据一致，偏离方案的应当进行记录</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紧急情况下偏离方案，应以书面形式报告</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紧急情况下偏离方案的，应当有记录，并及时报告给申办者和伦理委员会</w:t>
            </w:r>
          </w:p>
        </w:tc>
      </w:tr>
      <w:tr w:rsidR="00D83B76" w:rsidTr="00D83B76">
        <w:trPr>
          <w:trHeight w:val="1302"/>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受试者任何原因退出与</w:t>
            </w:r>
            <w:proofErr w:type="gramStart"/>
            <w:r>
              <w:rPr>
                <w:rFonts w:eastAsia="仿宋_GB2312" w:hint="eastAsia"/>
                <w:sz w:val="24"/>
              </w:rPr>
              <w:t>失访应</w:t>
            </w:r>
            <w:proofErr w:type="gramEnd"/>
            <w:r>
              <w:rPr>
                <w:rFonts w:eastAsia="仿宋_GB2312" w:hint="eastAsia"/>
                <w:sz w:val="24"/>
              </w:rPr>
              <w:t>记录并详细说明</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核对筛选入选表、原始病历、</w:t>
            </w:r>
            <w:r>
              <w:rPr>
                <w:rFonts w:eastAsia="仿宋_GB2312"/>
                <w:sz w:val="24"/>
              </w:rPr>
              <w:t>CRF</w:t>
            </w:r>
            <w:r>
              <w:rPr>
                <w:rFonts w:eastAsia="仿宋_GB2312" w:hint="eastAsia"/>
                <w:sz w:val="24"/>
              </w:rPr>
              <w:t>或分中心小结表中受试者完成试验情况，退出与</w:t>
            </w:r>
            <w:proofErr w:type="gramStart"/>
            <w:r>
              <w:rPr>
                <w:rFonts w:eastAsia="仿宋_GB2312" w:hint="eastAsia"/>
                <w:sz w:val="24"/>
              </w:rPr>
              <w:t>失访应</w:t>
            </w:r>
            <w:proofErr w:type="gramEnd"/>
            <w:r>
              <w:rPr>
                <w:rFonts w:eastAsia="仿宋_GB2312" w:hint="eastAsia"/>
                <w:sz w:val="24"/>
              </w:rPr>
              <w:t>记录并详细说明</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4.14</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安全性、有效性评价应符合试验方案要求</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核对原始病历中的安全性、有效性评价方法应当按照方案要求执行，原始数据与</w:t>
            </w:r>
            <w:r>
              <w:rPr>
                <w:rFonts w:eastAsia="仿宋_GB2312"/>
                <w:sz w:val="24"/>
              </w:rPr>
              <w:t>CRF</w:t>
            </w:r>
            <w:r>
              <w:rPr>
                <w:rFonts w:eastAsia="仿宋_GB2312" w:hint="eastAsia"/>
                <w:sz w:val="24"/>
              </w:rPr>
              <w:t>一致</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4.15</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研究者应对显著偏离临床试验方案或者在临床可接受范围以外的数据进行核实</w:t>
            </w:r>
          </w:p>
        </w:tc>
        <w:tc>
          <w:tcPr>
            <w:tcW w:w="2155" w:type="pct"/>
            <w:tcBorders>
              <w:top w:val="dashed" w:sz="6" w:space="0" w:color="auto"/>
              <w:left w:val="nil"/>
              <w:bottom w:val="dashed" w:sz="6" w:space="0" w:color="auto"/>
              <w:right w:val="single" w:sz="18" w:space="0" w:color="auto"/>
            </w:tcBorders>
            <w:vAlign w:val="center"/>
          </w:tcPr>
          <w:p w:rsidR="00D83B76" w:rsidRDefault="00D83B76">
            <w:pPr>
              <w:adjustRightInd w:val="0"/>
              <w:snapToGrid w:val="0"/>
              <w:spacing w:line="300" w:lineRule="auto"/>
              <w:rPr>
                <w:rFonts w:eastAsia="仿宋_GB2312"/>
                <w:sz w:val="24"/>
                <w:szCs w:val="24"/>
              </w:rPr>
            </w:pPr>
            <w:r>
              <w:rPr>
                <w:rFonts w:eastAsia="仿宋_GB2312" w:hint="eastAsia"/>
                <w:sz w:val="24"/>
              </w:rPr>
              <w:t>检查检验报告单，研究者对其中的异常值应当进行判定</w:t>
            </w:r>
          </w:p>
          <w:p w:rsidR="00D83B76" w:rsidRDefault="00D83B76">
            <w:pPr>
              <w:adjustRightInd w:val="0"/>
              <w:snapToGrid w:val="0"/>
              <w:spacing w:line="300" w:lineRule="auto"/>
              <w:rPr>
                <w:rFonts w:eastAsia="仿宋_GB2312"/>
                <w:sz w:val="24"/>
                <w:szCs w:val="24"/>
              </w:rPr>
            </w:pPr>
          </w:p>
        </w:tc>
      </w:tr>
      <w:tr w:rsidR="00D83B76" w:rsidTr="00D83B76">
        <w:trPr>
          <w:trHeight w:val="1734"/>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4.16</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合并使用药品、医疗器械情况应按照试验方案记录，不应有违反试验方案要求的合并用药品、医疗器械（如适用）</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检查原始病历、医院</w:t>
            </w:r>
            <w:r>
              <w:rPr>
                <w:rFonts w:eastAsia="仿宋_GB2312"/>
                <w:sz w:val="24"/>
              </w:rPr>
              <w:t>HIS</w:t>
            </w:r>
            <w:r>
              <w:rPr>
                <w:rFonts w:eastAsia="仿宋_GB2312" w:hint="eastAsia"/>
                <w:sz w:val="24"/>
              </w:rPr>
              <w:t>系统，研究者对合并使用药品、医疗器械情况应当进行记录，并与</w:t>
            </w:r>
            <w:r>
              <w:rPr>
                <w:rFonts w:eastAsia="仿宋_GB2312"/>
                <w:sz w:val="24"/>
              </w:rPr>
              <w:t>CRF</w:t>
            </w:r>
            <w:r>
              <w:rPr>
                <w:rFonts w:eastAsia="仿宋_GB2312" w:hint="eastAsia"/>
                <w:sz w:val="24"/>
              </w:rPr>
              <w:t>、数据库中数据一致</w:t>
            </w:r>
          </w:p>
        </w:tc>
      </w:tr>
      <w:tr w:rsidR="00D83B76" w:rsidTr="00D83B76">
        <w:trPr>
          <w:trHeight w:val="1242"/>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lastRenderedPageBreak/>
              <w:t>4.17</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不良事件、并发症和器械缺陷应记录</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检查原始病历，研究者对不良事件、并发症和器械缺陷应当进行记录，并与</w:t>
            </w:r>
            <w:r>
              <w:rPr>
                <w:rFonts w:eastAsia="仿宋_GB2312"/>
                <w:sz w:val="24"/>
              </w:rPr>
              <w:t>CRF</w:t>
            </w:r>
            <w:r>
              <w:rPr>
                <w:rFonts w:eastAsia="仿宋_GB2312" w:hint="eastAsia"/>
                <w:sz w:val="24"/>
              </w:rPr>
              <w:t>和数据库中数据一致</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4.18</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及时治疗和处理严重不良事件</w:t>
            </w:r>
            <w:r>
              <w:rPr>
                <w:rFonts w:eastAsia="仿宋_GB2312"/>
                <w:sz w:val="24"/>
              </w:rPr>
              <w:t>/</w:t>
            </w:r>
            <w:r>
              <w:rPr>
                <w:rFonts w:eastAsia="仿宋_GB2312" w:hint="eastAsia"/>
                <w:sz w:val="24"/>
              </w:rPr>
              <w:t>不良事件（</w:t>
            </w:r>
            <w:r>
              <w:rPr>
                <w:rFonts w:eastAsia="仿宋_GB2312"/>
                <w:sz w:val="24"/>
              </w:rPr>
              <w:t>SAE/AE</w:t>
            </w:r>
            <w:r>
              <w:rPr>
                <w:rFonts w:eastAsia="仿宋_GB2312" w:hint="eastAsia"/>
                <w:sz w:val="24"/>
              </w:rPr>
              <w:t>），跟踪随访</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检查原始病历，严重不良事件</w:t>
            </w:r>
            <w:r>
              <w:rPr>
                <w:rFonts w:eastAsia="仿宋_GB2312"/>
                <w:sz w:val="24"/>
              </w:rPr>
              <w:t>/</w:t>
            </w:r>
            <w:r>
              <w:rPr>
                <w:rFonts w:eastAsia="仿宋_GB2312" w:hint="eastAsia"/>
                <w:sz w:val="24"/>
              </w:rPr>
              <w:t>不良事件发生和治疗处理应当及时，并进行跟踪随访</w:t>
            </w:r>
          </w:p>
        </w:tc>
      </w:tr>
      <w:tr w:rsidR="00D83B76" w:rsidTr="00D83B76">
        <w:trPr>
          <w:trHeight w:val="3252"/>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4.19</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严重不良事件（</w:t>
            </w:r>
            <w:r>
              <w:rPr>
                <w:rFonts w:eastAsia="仿宋_GB2312"/>
                <w:sz w:val="24"/>
              </w:rPr>
              <w:t>SAE</w:t>
            </w:r>
            <w:r>
              <w:rPr>
                <w:rFonts w:eastAsia="仿宋_GB2312" w:hint="eastAsia"/>
                <w:sz w:val="24"/>
              </w:rPr>
              <w:t>）和可能导致严重不良事件的器械缺陷在规定时间内报告</w:t>
            </w:r>
            <w:proofErr w:type="gramStart"/>
            <w:r>
              <w:rPr>
                <w:rFonts w:eastAsia="仿宋_GB2312" w:hint="eastAsia"/>
                <w:sz w:val="24"/>
              </w:rPr>
              <w:t>给规定</w:t>
            </w:r>
            <w:proofErr w:type="gramEnd"/>
            <w:r>
              <w:rPr>
                <w:rFonts w:eastAsia="仿宋_GB2312" w:hint="eastAsia"/>
                <w:sz w:val="24"/>
              </w:rPr>
              <w:t>部门</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检查严重不良事件报告表，记录应当完整，有相关信息，在</w:t>
            </w:r>
            <w:r>
              <w:rPr>
                <w:rFonts w:eastAsia="仿宋_GB2312"/>
                <w:sz w:val="24"/>
              </w:rPr>
              <w:t>24</w:t>
            </w:r>
            <w:r>
              <w:rPr>
                <w:rFonts w:eastAsia="仿宋_GB2312" w:hint="eastAsia"/>
                <w:sz w:val="24"/>
              </w:rPr>
              <w:t>小时内书面报告相应的伦理委员会以及临床试验机构所在地省、自治区、直辖市药品监督管理部门和卫生计生主管部门，器械缺陷经临床试验机构医疗器械临床试验管理部门报伦理委员会审查</w:t>
            </w:r>
          </w:p>
        </w:tc>
      </w:tr>
      <w:tr w:rsidR="00D83B76" w:rsidTr="00D83B76">
        <w:trPr>
          <w:trHeight w:val="83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4.20</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暂停或者终止临床试验时，受试者应得到适当治疗和随访</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检查原始病历，受试者有适当治疗和随访</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4.21</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盲法试验按照试验方案的要求进行揭盲（若有）</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proofErr w:type="gramStart"/>
            <w:r>
              <w:rPr>
                <w:rFonts w:eastAsia="仿宋_GB2312" w:hint="eastAsia"/>
                <w:sz w:val="24"/>
              </w:rPr>
              <w:t>检查揭盲记录</w:t>
            </w:r>
            <w:proofErr w:type="gramEnd"/>
            <w:r>
              <w:rPr>
                <w:rFonts w:eastAsia="仿宋_GB2312" w:hint="eastAsia"/>
                <w:sz w:val="24"/>
              </w:rPr>
              <w:t>，核实</w:t>
            </w:r>
            <w:proofErr w:type="gramStart"/>
            <w:r>
              <w:rPr>
                <w:rFonts w:eastAsia="仿宋_GB2312" w:hint="eastAsia"/>
                <w:sz w:val="24"/>
              </w:rPr>
              <w:t>揭盲符合</w:t>
            </w:r>
            <w:proofErr w:type="gramEnd"/>
            <w:r>
              <w:rPr>
                <w:rFonts w:eastAsia="仿宋_GB2312" w:hint="eastAsia"/>
                <w:sz w:val="24"/>
              </w:rPr>
              <w:t>方案规定</w:t>
            </w:r>
          </w:p>
        </w:tc>
      </w:tr>
      <w:tr w:rsidR="00D83B76" w:rsidTr="00D83B76">
        <w:trPr>
          <w:trHeight w:val="270"/>
        </w:trPr>
        <w:tc>
          <w:tcPr>
            <w:tcW w:w="485" w:type="pct"/>
            <w:tcBorders>
              <w:top w:val="dashed" w:sz="6"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4.22</w:t>
            </w:r>
          </w:p>
        </w:tc>
        <w:tc>
          <w:tcPr>
            <w:tcW w:w="2360"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申办方对临床试验实施监查</w:t>
            </w:r>
          </w:p>
        </w:tc>
        <w:tc>
          <w:tcPr>
            <w:tcW w:w="2155"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检查监查员的监查记录，研究者对监查发现的问题应当及时采取改正措施</w:t>
            </w:r>
          </w:p>
        </w:tc>
      </w:tr>
      <w:tr w:rsidR="00D83B76" w:rsidTr="00D83B76">
        <w:trPr>
          <w:trHeight w:val="40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b/>
                <w:sz w:val="24"/>
                <w:szCs w:val="24"/>
              </w:rPr>
            </w:pPr>
            <w:r>
              <w:rPr>
                <w:rFonts w:eastAsia="仿宋_GB2312"/>
                <w:b/>
                <w:sz w:val="24"/>
              </w:rPr>
              <w:t>5</w:t>
            </w:r>
          </w:p>
        </w:tc>
        <w:tc>
          <w:tcPr>
            <w:tcW w:w="4515" w:type="pct"/>
            <w:gridSpan w:val="2"/>
            <w:tcBorders>
              <w:top w:val="single" w:sz="18"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b/>
                <w:sz w:val="24"/>
                <w:szCs w:val="24"/>
              </w:rPr>
            </w:pPr>
            <w:r>
              <w:rPr>
                <w:rFonts w:eastAsia="仿宋_GB2312" w:hint="eastAsia"/>
                <w:b/>
                <w:sz w:val="24"/>
              </w:rPr>
              <w:t>记录与报告</w:t>
            </w:r>
          </w:p>
        </w:tc>
      </w:tr>
      <w:tr w:rsidR="00D83B76" w:rsidTr="00D83B76">
        <w:trPr>
          <w:trHeight w:val="40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5.1</w:t>
            </w:r>
          </w:p>
        </w:tc>
        <w:tc>
          <w:tcPr>
            <w:tcW w:w="4515" w:type="pct"/>
            <w:gridSpan w:val="2"/>
            <w:tcBorders>
              <w:top w:val="single" w:sz="18"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临床试验记录</w:t>
            </w:r>
          </w:p>
        </w:tc>
      </w:tr>
      <w:tr w:rsidR="00D83B76" w:rsidTr="00D83B76">
        <w:trPr>
          <w:trHeight w:val="870"/>
        </w:trPr>
        <w:tc>
          <w:tcPr>
            <w:tcW w:w="485" w:type="pct"/>
            <w:tcBorders>
              <w:top w:val="single" w:sz="18"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5.1.1</w:t>
            </w:r>
          </w:p>
        </w:tc>
        <w:tc>
          <w:tcPr>
            <w:tcW w:w="2360"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临床试验记录的填写准确、完整、清晰、及时</w:t>
            </w:r>
          </w:p>
        </w:tc>
        <w:tc>
          <w:tcPr>
            <w:tcW w:w="2155"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检查原始病历、</w:t>
            </w:r>
            <w:r>
              <w:rPr>
                <w:rFonts w:eastAsia="仿宋_GB2312"/>
                <w:sz w:val="24"/>
              </w:rPr>
              <w:t>CRF</w:t>
            </w:r>
            <w:r>
              <w:rPr>
                <w:rFonts w:eastAsia="仿宋_GB2312" w:hint="eastAsia"/>
                <w:sz w:val="24"/>
              </w:rPr>
              <w:t>，记录应当准确、完整、清晰、及时</w:t>
            </w:r>
          </w:p>
        </w:tc>
      </w:tr>
      <w:tr w:rsidR="00D83B76" w:rsidTr="00D83B76">
        <w:trPr>
          <w:trHeight w:val="1146"/>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5.1.2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对错误、遗漏做出纠正</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检查原始病历中的修改记录、数据质疑表及应答记录，对错误、遗漏应当做出纠正</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5.1.3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临床试验记录的修改应说明理由，修改者签名并注明日期，保持原始记录清晰可辨</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检查原始病历修改记录，修改应当符合要求，并记录修改理由</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5.1.4</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检验科、影像科、心电室、内镜室等检查检验结果可溯源</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检查医院</w:t>
            </w:r>
            <w:r>
              <w:rPr>
                <w:rFonts w:eastAsia="仿宋_GB2312"/>
                <w:sz w:val="24"/>
              </w:rPr>
              <w:t>LIS</w:t>
            </w:r>
            <w:r>
              <w:rPr>
                <w:rFonts w:eastAsia="仿宋_GB2312" w:hint="eastAsia"/>
                <w:sz w:val="24"/>
              </w:rPr>
              <w:t>、</w:t>
            </w:r>
            <w:r>
              <w:rPr>
                <w:rFonts w:eastAsia="仿宋_GB2312"/>
                <w:sz w:val="24"/>
              </w:rPr>
              <w:t>PACS</w:t>
            </w:r>
            <w:r>
              <w:rPr>
                <w:rFonts w:eastAsia="仿宋_GB2312" w:hint="eastAsia"/>
                <w:sz w:val="24"/>
              </w:rPr>
              <w:t>等系统，相关辅助检查数据应当可在系统中溯</w:t>
            </w:r>
            <w:r>
              <w:rPr>
                <w:rFonts w:eastAsia="仿宋_GB2312" w:hint="eastAsia"/>
                <w:sz w:val="24"/>
              </w:rPr>
              <w:lastRenderedPageBreak/>
              <w:t>源</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lastRenderedPageBreak/>
              <w:t>5.1.5</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sz w:val="24"/>
              </w:rPr>
              <w:t>CRF</w:t>
            </w:r>
            <w:r>
              <w:rPr>
                <w:rFonts w:eastAsia="仿宋_GB2312" w:hint="eastAsia"/>
                <w:sz w:val="24"/>
              </w:rPr>
              <w:t>中的数据与原始病历一致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w:t>
            </w:r>
            <w:r>
              <w:rPr>
                <w:rFonts w:eastAsia="仿宋_GB2312"/>
                <w:sz w:val="24"/>
              </w:rPr>
              <w:t>CRF</w:t>
            </w:r>
            <w:r>
              <w:rPr>
                <w:rFonts w:eastAsia="仿宋_GB2312" w:hint="eastAsia"/>
                <w:sz w:val="24"/>
              </w:rPr>
              <w:t>和原始病历，数据应当一致</w:t>
            </w:r>
          </w:p>
        </w:tc>
      </w:tr>
      <w:tr w:rsidR="00D83B76" w:rsidTr="00D83B76">
        <w:trPr>
          <w:trHeight w:val="1364"/>
        </w:trPr>
        <w:tc>
          <w:tcPr>
            <w:tcW w:w="485" w:type="pct"/>
            <w:tcBorders>
              <w:top w:val="dashed" w:sz="6"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5.1.6</w:t>
            </w:r>
          </w:p>
        </w:tc>
        <w:tc>
          <w:tcPr>
            <w:tcW w:w="2360"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电子临床数据库或者远程电子临床数据系统，应确保临床数据的受控、真实，并有完整的验证文件（如适用）</w:t>
            </w:r>
          </w:p>
        </w:tc>
        <w:tc>
          <w:tcPr>
            <w:tcW w:w="2155"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检查电子临床数据库或者远程电子临床数据系统，应当有培训记录、独立账号、使用权限、数据审核、验证文件，有审计追踪功能</w:t>
            </w:r>
          </w:p>
        </w:tc>
      </w:tr>
      <w:tr w:rsidR="00D83B76" w:rsidTr="00D83B76">
        <w:trPr>
          <w:trHeight w:val="40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5.2</w:t>
            </w:r>
          </w:p>
        </w:tc>
        <w:tc>
          <w:tcPr>
            <w:tcW w:w="4515" w:type="pct"/>
            <w:gridSpan w:val="2"/>
            <w:tcBorders>
              <w:top w:val="single" w:sz="18"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临床试验报告</w:t>
            </w:r>
          </w:p>
        </w:tc>
      </w:tr>
      <w:tr w:rsidR="00D83B76" w:rsidTr="00D83B76">
        <w:trPr>
          <w:trHeight w:val="270"/>
        </w:trPr>
        <w:tc>
          <w:tcPr>
            <w:tcW w:w="485" w:type="pct"/>
            <w:tcBorders>
              <w:top w:val="single" w:sz="18"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5.2.1</w:t>
            </w:r>
          </w:p>
        </w:tc>
        <w:tc>
          <w:tcPr>
            <w:tcW w:w="2360"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多中心临床试验结束后，各分中心有临床试验小结</w:t>
            </w:r>
            <w:r>
              <w:rPr>
                <w:rFonts w:eastAsia="仿宋_GB2312"/>
                <w:sz w:val="24"/>
              </w:rPr>
              <w:t>/</w:t>
            </w:r>
            <w:r>
              <w:rPr>
                <w:rFonts w:eastAsia="仿宋_GB2312" w:hint="eastAsia"/>
                <w:sz w:val="24"/>
              </w:rPr>
              <w:t>临床试验报告</w:t>
            </w:r>
          </w:p>
        </w:tc>
        <w:tc>
          <w:tcPr>
            <w:tcW w:w="2155"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各分中心应当保存临床试验小结</w:t>
            </w:r>
            <w:r>
              <w:rPr>
                <w:rFonts w:eastAsia="仿宋_GB2312"/>
                <w:sz w:val="24"/>
              </w:rPr>
              <w:t>/</w:t>
            </w:r>
            <w:r>
              <w:rPr>
                <w:rFonts w:eastAsia="仿宋_GB2312" w:hint="eastAsia"/>
                <w:sz w:val="24"/>
              </w:rPr>
              <w:t>临床试验报告</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5.2.2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临床试验小结</w:t>
            </w:r>
            <w:r>
              <w:rPr>
                <w:rFonts w:eastAsia="仿宋_GB2312"/>
                <w:sz w:val="24"/>
              </w:rPr>
              <w:t>/</w:t>
            </w:r>
            <w:r>
              <w:rPr>
                <w:rFonts w:eastAsia="仿宋_GB2312" w:hint="eastAsia"/>
                <w:sz w:val="24"/>
              </w:rPr>
              <w:t>临床试验报告有研究者签名、注明日期，有临床试验机构审核意见、注明日期和加盖临床试验机构印章</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临床试验小结</w:t>
            </w:r>
            <w:r>
              <w:rPr>
                <w:rFonts w:eastAsia="仿宋_GB2312"/>
                <w:sz w:val="24"/>
              </w:rPr>
              <w:t>/</w:t>
            </w:r>
            <w:r>
              <w:rPr>
                <w:rFonts w:eastAsia="仿宋_GB2312" w:hint="eastAsia"/>
                <w:sz w:val="24"/>
              </w:rPr>
              <w:t>临床试验报告应当有研究者签名、注明日期，有临床试验机构审核意见、注明日期和加盖临床试验机构印章</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5.2.3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用于统计的数据库数据或分中心小结数据与</w:t>
            </w:r>
            <w:r>
              <w:rPr>
                <w:rFonts w:eastAsia="仿宋_GB2312"/>
                <w:sz w:val="24"/>
              </w:rPr>
              <w:t>CRF</w:t>
            </w:r>
            <w:r>
              <w:rPr>
                <w:rFonts w:eastAsia="仿宋_GB2312" w:hint="eastAsia"/>
                <w:sz w:val="24"/>
              </w:rPr>
              <w:t>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抽查</w:t>
            </w:r>
            <w:r>
              <w:rPr>
                <w:rFonts w:eastAsia="仿宋_GB2312"/>
                <w:sz w:val="24"/>
              </w:rPr>
              <w:t>CRF</w:t>
            </w:r>
            <w:r>
              <w:rPr>
                <w:rFonts w:eastAsia="仿宋_GB2312" w:hint="eastAsia"/>
                <w:sz w:val="24"/>
              </w:rPr>
              <w:t>与数据库中的数据，数据应当一致</w:t>
            </w:r>
          </w:p>
        </w:tc>
      </w:tr>
      <w:tr w:rsidR="00D83B76" w:rsidTr="00D83B76">
        <w:trPr>
          <w:trHeight w:val="868"/>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5.2.4</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临床试验报告、统计分析报告与用于统计的数据库数据或分中心小结数据一致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核对临床试验报告、统计分析报告与数据库或分中心小结，数据应当一致</w:t>
            </w:r>
          </w:p>
        </w:tc>
      </w:tr>
      <w:tr w:rsidR="00D83B76" w:rsidTr="00D83B76">
        <w:trPr>
          <w:trHeight w:val="1263"/>
        </w:trPr>
        <w:tc>
          <w:tcPr>
            <w:tcW w:w="485" w:type="pct"/>
            <w:tcBorders>
              <w:top w:val="dashed" w:sz="6"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5.2.5</w:t>
            </w:r>
          </w:p>
        </w:tc>
        <w:tc>
          <w:tcPr>
            <w:tcW w:w="2360"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注册申请提交的临床试验报告内容与临床试验机构保存的临床试验报告内容一致</w:t>
            </w:r>
          </w:p>
        </w:tc>
        <w:tc>
          <w:tcPr>
            <w:tcW w:w="2155"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核对注册申请提交的临床试验报告和临床试验机构保存的临床试验报告，版本、内容应当一致</w:t>
            </w:r>
          </w:p>
        </w:tc>
      </w:tr>
      <w:tr w:rsidR="00D83B76" w:rsidTr="00D83B76">
        <w:trPr>
          <w:trHeight w:val="40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b/>
                <w:sz w:val="24"/>
                <w:szCs w:val="24"/>
              </w:rPr>
            </w:pPr>
            <w:r>
              <w:rPr>
                <w:rFonts w:eastAsia="仿宋_GB2312"/>
                <w:b/>
                <w:sz w:val="24"/>
              </w:rPr>
              <w:t>6</w:t>
            </w:r>
          </w:p>
        </w:tc>
        <w:tc>
          <w:tcPr>
            <w:tcW w:w="4515" w:type="pct"/>
            <w:gridSpan w:val="2"/>
            <w:tcBorders>
              <w:top w:val="single" w:sz="18"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b/>
                <w:sz w:val="24"/>
                <w:szCs w:val="24"/>
              </w:rPr>
            </w:pPr>
            <w:r>
              <w:rPr>
                <w:rFonts w:eastAsia="仿宋_GB2312" w:hint="eastAsia"/>
                <w:b/>
                <w:sz w:val="24"/>
              </w:rPr>
              <w:t>试验用医疗器械</w:t>
            </w:r>
            <w:r>
              <w:rPr>
                <w:rFonts w:eastAsia="仿宋_GB2312"/>
                <w:b/>
                <w:sz w:val="24"/>
              </w:rPr>
              <w:t>/</w:t>
            </w:r>
            <w:r>
              <w:rPr>
                <w:rFonts w:eastAsia="仿宋_GB2312" w:hint="eastAsia"/>
                <w:b/>
                <w:sz w:val="24"/>
              </w:rPr>
              <w:t>体外诊断试剂管理</w:t>
            </w:r>
          </w:p>
        </w:tc>
      </w:tr>
      <w:tr w:rsidR="00D83B76" w:rsidTr="00D83B76">
        <w:trPr>
          <w:trHeight w:val="1667"/>
        </w:trPr>
        <w:tc>
          <w:tcPr>
            <w:tcW w:w="485" w:type="pct"/>
            <w:tcBorders>
              <w:top w:val="single" w:sz="18"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6.1</w:t>
            </w:r>
          </w:p>
        </w:tc>
        <w:tc>
          <w:tcPr>
            <w:tcW w:w="2360"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试验用医疗器械</w:t>
            </w:r>
            <w:r>
              <w:rPr>
                <w:rFonts w:eastAsia="仿宋_GB2312"/>
                <w:sz w:val="24"/>
              </w:rPr>
              <w:t>/</w:t>
            </w:r>
            <w:r>
              <w:rPr>
                <w:rFonts w:eastAsia="仿宋_GB2312" w:hint="eastAsia"/>
                <w:sz w:val="24"/>
              </w:rPr>
              <w:t>体外诊断试剂的信息包括名称、型号、规格、接收日期、生产日期、产品批号或者序列号、数量等</w:t>
            </w:r>
          </w:p>
        </w:tc>
        <w:tc>
          <w:tcPr>
            <w:tcW w:w="2155" w:type="pct"/>
            <w:tcBorders>
              <w:top w:val="single" w:sz="18"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ind w:left="1"/>
              <w:rPr>
                <w:rFonts w:eastAsia="仿宋_GB2312"/>
                <w:sz w:val="24"/>
                <w:szCs w:val="24"/>
              </w:rPr>
            </w:pPr>
            <w:r>
              <w:rPr>
                <w:rFonts w:eastAsia="仿宋_GB2312" w:hint="eastAsia"/>
                <w:sz w:val="24"/>
              </w:rPr>
              <w:t>检查试验用医疗器械</w:t>
            </w:r>
            <w:r>
              <w:rPr>
                <w:rFonts w:eastAsia="仿宋_GB2312"/>
                <w:sz w:val="24"/>
              </w:rPr>
              <w:t>/</w:t>
            </w:r>
            <w:r>
              <w:rPr>
                <w:rFonts w:eastAsia="仿宋_GB2312" w:hint="eastAsia"/>
                <w:sz w:val="24"/>
              </w:rPr>
              <w:t>体外诊断试剂交接单，应当有名称、型号、规格、接收日期、生产日期、产品批号或者序列号、数量等信息</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6.2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试验用医疗器械</w:t>
            </w:r>
            <w:r>
              <w:rPr>
                <w:rFonts w:eastAsia="仿宋_GB2312"/>
                <w:sz w:val="24"/>
              </w:rPr>
              <w:t>/</w:t>
            </w:r>
            <w:r>
              <w:rPr>
                <w:rFonts w:eastAsia="仿宋_GB2312" w:hint="eastAsia"/>
                <w:sz w:val="24"/>
              </w:rPr>
              <w:t>体外诊断试剂与检测报告、临床试验报告中的产品名称、规格型号一致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检查使用记录、检测报告、临床试验报告中试验用医疗器械</w:t>
            </w:r>
            <w:r>
              <w:rPr>
                <w:rFonts w:eastAsia="仿宋_GB2312"/>
                <w:sz w:val="24"/>
              </w:rPr>
              <w:t>/</w:t>
            </w:r>
            <w:r>
              <w:rPr>
                <w:rFonts w:eastAsia="仿宋_GB2312" w:hint="eastAsia"/>
                <w:sz w:val="24"/>
              </w:rPr>
              <w:t>体外诊断试剂的规格型号，信息应当一致</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6.3</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试验用医疗器械</w:t>
            </w:r>
            <w:r>
              <w:rPr>
                <w:rFonts w:eastAsia="仿宋_GB2312"/>
                <w:sz w:val="24"/>
              </w:rPr>
              <w:t>/</w:t>
            </w:r>
            <w:r>
              <w:rPr>
                <w:rFonts w:eastAsia="仿宋_GB2312" w:hint="eastAsia"/>
                <w:sz w:val="24"/>
              </w:rPr>
              <w:t>体外诊断试剂的运输、接收、储存、分发、回收与销毁</w:t>
            </w:r>
            <w:r>
              <w:rPr>
                <w:rFonts w:eastAsia="仿宋_GB2312" w:hint="eastAsia"/>
                <w:sz w:val="24"/>
              </w:rPr>
              <w:lastRenderedPageBreak/>
              <w:t>等记录完整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lastRenderedPageBreak/>
              <w:t>检查运输、接收、储存、分发、回收与销毁等记录，内容应当完</w:t>
            </w:r>
            <w:r>
              <w:rPr>
                <w:rFonts w:eastAsia="仿宋_GB2312" w:hint="eastAsia"/>
                <w:sz w:val="24"/>
              </w:rPr>
              <w:lastRenderedPageBreak/>
              <w:t>整，数量不一致的记录原因</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lastRenderedPageBreak/>
              <w:t>6.4</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运输条件、储存温度、储存条件、储存时间、安全有效期等符合要求</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检查运输、接收、储存记录，运输条件、储存温度、储存条件、储存时间、安全有效期等应当符合试验方案的要求</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6.5</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所使用的、废弃的或者返还的数量与申办者提供的数量一致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检查接收、使用、回收记录，数量应当与申办者提供的数据吻合</w:t>
            </w:r>
          </w:p>
        </w:tc>
      </w:tr>
      <w:tr w:rsidR="00D83B76" w:rsidTr="00D83B76">
        <w:trPr>
          <w:trHeight w:val="1615"/>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6.6</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特殊类型医疗器械保存和使用情况与总结报告内容一致</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实地检查有特殊场地保存要求的大型医疗器械（如大型放疗设备），保存条件和使用情况应当与总结报告内容一致</w:t>
            </w:r>
          </w:p>
        </w:tc>
      </w:tr>
      <w:tr w:rsidR="00D83B76" w:rsidTr="00D83B76">
        <w:trPr>
          <w:trHeight w:val="405"/>
        </w:trPr>
        <w:tc>
          <w:tcPr>
            <w:tcW w:w="485" w:type="pct"/>
            <w:tcBorders>
              <w:top w:val="single" w:sz="18"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b/>
                <w:sz w:val="24"/>
                <w:szCs w:val="24"/>
              </w:rPr>
            </w:pPr>
            <w:r>
              <w:rPr>
                <w:rFonts w:eastAsia="仿宋_GB2312"/>
                <w:b/>
                <w:sz w:val="24"/>
              </w:rPr>
              <w:t>7</w:t>
            </w:r>
          </w:p>
        </w:tc>
        <w:tc>
          <w:tcPr>
            <w:tcW w:w="4515" w:type="pct"/>
            <w:gridSpan w:val="2"/>
            <w:tcBorders>
              <w:top w:val="single" w:sz="18"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b/>
                <w:sz w:val="24"/>
                <w:szCs w:val="24"/>
              </w:rPr>
            </w:pPr>
            <w:r>
              <w:rPr>
                <w:rFonts w:eastAsia="仿宋_GB2312" w:hint="eastAsia"/>
                <w:b/>
                <w:sz w:val="24"/>
              </w:rPr>
              <w:t>临床试验用样本的管理（适用体外诊断试剂）</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7.1</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440" w:lineRule="exact"/>
              <w:rPr>
                <w:rFonts w:eastAsia="仿宋_GB2312"/>
                <w:sz w:val="24"/>
                <w:szCs w:val="24"/>
              </w:rPr>
            </w:pPr>
            <w:r>
              <w:rPr>
                <w:rFonts w:eastAsia="仿宋_GB2312" w:hint="eastAsia"/>
                <w:sz w:val="24"/>
              </w:rPr>
              <w:t>临床试验用样本来源、编号、保存、使用、留存、销毁的各环节应有原始记录</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检查临床试验用样本接收、保存、使用、留存、销毁记录表，内容应当完整，有编号、数量等信息，并有相关人员签名和日期</w:t>
            </w:r>
          </w:p>
        </w:tc>
      </w:tr>
      <w:tr w:rsidR="00D83B76" w:rsidTr="00D83B76">
        <w:trPr>
          <w:trHeight w:val="270"/>
        </w:trPr>
        <w:tc>
          <w:tcPr>
            <w:tcW w:w="485" w:type="pct"/>
            <w:tcBorders>
              <w:top w:val="dashed" w:sz="6" w:space="0" w:color="auto"/>
              <w:left w:val="single" w:sz="18" w:space="0" w:color="auto"/>
              <w:bottom w:val="dashed" w:sz="6"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7.2</w:t>
            </w:r>
          </w:p>
        </w:tc>
        <w:tc>
          <w:tcPr>
            <w:tcW w:w="2360"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440" w:lineRule="exact"/>
              <w:rPr>
                <w:rFonts w:eastAsia="仿宋_GB2312"/>
                <w:sz w:val="24"/>
                <w:szCs w:val="24"/>
              </w:rPr>
            </w:pPr>
            <w:r>
              <w:rPr>
                <w:rFonts w:eastAsia="仿宋_GB2312" w:hint="eastAsia"/>
                <w:sz w:val="24"/>
              </w:rPr>
              <w:t>临床试验用样本检测与临床试验方案规定一致，具有完整的原始记录</w:t>
            </w:r>
          </w:p>
        </w:tc>
        <w:tc>
          <w:tcPr>
            <w:tcW w:w="2155" w:type="pct"/>
            <w:tcBorders>
              <w:top w:val="dashed" w:sz="6" w:space="0" w:color="auto"/>
              <w:left w:val="nil"/>
              <w:bottom w:val="dashed" w:sz="6"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检查临床试验用样本检测记录，检测方法、条件应当与方案规定一致，检测记录完整</w:t>
            </w:r>
          </w:p>
        </w:tc>
      </w:tr>
      <w:tr w:rsidR="00D83B76" w:rsidTr="00D83B76">
        <w:trPr>
          <w:trHeight w:val="270"/>
        </w:trPr>
        <w:tc>
          <w:tcPr>
            <w:tcW w:w="485" w:type="pct"/>
            <w:tcBorders>
              <w:top w:val="dashed" w:sz="6" w:space="0" w:color="auto"/>
              <w:left w:val="single" w:sz="18" w:space="0" w:color="auto"/>
              <w:bottom w:val="single" w:sz="18" w:space="0" w:color="auto"/>
              <w:right w:val="single" w:sz="4" w:space="0" w:color="auto"/>
            </w:tcBorders>
            <w:vAlign w:val="center"/>
            <w:hideMark/>
          </w:tcPr>
          <w:p w:rsidR="00D83B76" w:rsidRDefault="00D83B76">
            <w:pPr>
              <w:adjustRightInd w:val="0"/>
              <w:snapToGrid w:val="0"/>
              <w:spacing w:line="300" w:lineRule="auto"/>
              <w:jc w:val="center"/>
              <w:rPr>
                <w:rFonts w:eastAsia="仿宋_GB2312"/>
                <w:sz w:val="24"/>
                <w:szCs w:val="24"/>
              </w:rPr>
            </w:pPr>
            <w:r>
              <w:rPr>
                <w:rFonts w:eastAsia="仿宋_GB2312"/>
                <w:sz w:val="24"/>
              </w:rPr>
              <w:t>7.3</w:t>
            </w:r>
          </w:p>
        </w:tc>
        <w:tc>
          <w:tcPr>
            <w:tcW w:w="2360"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440" w:lineRule="exact"/>
              <w:rPr>
                <w:rFonts w:eastAsia="仿宋_GB2312"/>
                <w:sz w:val="24"/>
                <w:szCs w:val="24"/>
              </w:rPr>
            </w:pPr>
            <w:r>
              <w:rPr>
                <w:rFonts w:eastAsia="仿宋_GB2312" w:hint="eastAsia"/>
                <w:sz w:val="24"/>
              </w:rPr>
              <w:t>如有临床试验用样本重复使用，应提供相应说明</w:t>
            </w:r>
          </w:p>
        </w:tc>
        <w:tc>
          <w:tcPr>
            <w:tcW w:w="2155" w:type="pct"/>
            <w:tcBorders>
              <w:top w:val="dashed" w:sz="6" w:space="0" w:color="auto"/>
              <w:left w:val="nil"/>
              <w:bottom w:val="single" w:sz="18" w:space="0" w:color="auto"/>
              <w:right w:val="single" w:sz="18" w:space="0" w:color="auto"/>
            </w:tcBorders>
            <w:vAlign w:val="center"/>
            <w:hideMark/>
          </w:tcPr>
          <w:p w:rsidR="00D83B76" w:rsidRDefault="00D83B76">
            <w:pPr>
              <w:adjustRightInd w:val="0"/>
              <w:snapToGrid w:val="0"/>
              <w:spacing w:line="300" w:lineRule="auto"/>
              <w:rPr>
                <w:rFonts w:eastAsia="仿宋_GB2312"/>
                <w:sz w:val="24"/>
                <w:szCs w:val="24"/>
              </w:rPr>
            </w:pPr>
            <w:r>
              <w:rPr>
                <w:rFonts w:eastAsia="仿宋_GB2312" w:hint="eastAsia"/>
                <w:sz w:val="24"/>
              </w:rPr>
              <w:t>如有样本重复使用，应当在临床试验方案中进行规定，样本重复使用留有记录，并在总结报告中对重复使用进行说明</w:t>
            </w:r>
          </w:p>
        </w:tc>
      </w:tr>
    </w:tbl>
    <w:p w:rsidR="00D83B76" w:rsidRDefault="00D83B76" w:rsidP="00D83B76">
      <w:pPr>
        <w:ind w:leftChars="101" w:left="1233" w:hangingChars="486" w:hanging="1021"/>
        <w:rPr>
          <w:rFonts w:ascii="Times New Roman" w:eastAsia="仿宋_GB2312" w:hAnsi="Times New Roman" w:cs="Times New Roman"/>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ind w:leftChars="101" w:left="1233" w:hangingChars="486" w:hanging="1021"/>
        <w:rPr>
          <w:rFonts w:eastAsia="仿宋_GB2312"/>
          <w:szCs w:val="21"/>
        </w:rPr>
      </w:pPr>
    </w:p>
    <w:p w:rsidR="00D83B76" w:rsidRDefault="00D83B76" w:rsidP="00D83B76">
      <w:pPr>
        <w:overflowPunct w:val="0"/>
        <w:spacing w:line="560" w:lineRule="exact"/>
        <w:ind w:firstLineChars="200" w:firstLine="640"/>
        <w:rPr>
          <w:rFonts w:eastAsia="仿宋_GB2312"/>
          <w:sz w:val="32"/>
          <w:szCs w:val="32"/>
        </w:rPr>
      </w:pPr>
      <w:r>
        <w:rPr>
          <w:rFonts w:eastAsia="仿宋_GB2312" w:hint="eastAsia"/>
          <w:sz w:val="32"/>
          <w:szCs w:val="32"/>
        </w:rPr>
        <w:t>根据检查发现的问题，检查结果按以下原则判定：</w:t>
      </w:r>
    </w:p>
    <w:p w:rsidR="00D83B76" w:rsidRDefault="00D83B76" w:rsidP="00D83B76">
      <w:pPr>
        <w:overflowPunct w:val="0"/>
        <w:spacing w:line="560" w:lineRule="exact"/>
        <w:ind w:firstLineChars="200" w:firstLine="640"/>
        <w:rPr>
          <w:rFonts w:eastAsia="仿宋_GB2312"/>
          <w:sz w:val="32"/>
          <w:szCs w:val="32"/>
        </w:rPr>
      </w:pPr>
      <w:r>
        <w:rPr>
          <w:rFonts w:eastAsia="仿宋_GB2312" w:hint="eastAsia"/>
          <w:sz w:val="32"/>
          <w:szCs w:val="32"/>
        </w:rPr>
        <w:t>一、有以下情形之一的，判定为存在真实性问题：</w:t>
      </w:r>
    </w:p>
    <w:p w:rsidR="00D83B76" w:rsidRDefault="00D83B76" w:rsidP="00D83B76">
      <w:pPr>
        <w:overflowPunct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编造受试者信息、主要试验过程记录、研究数据、检测数据等临床试验数据，影响医疗器械安全性、有效性评价结果的；</w:t>
      </w:r>
    </w:p>
    <w:p w:rsidR="00D83B76" w:rsidRDefault="00D83B76" w:rsidP="00D83B76">
      <w:pPr>
        <w:overflowPunct w:val="0"/>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临床试验数据，如入选排除标准、主要疗效指标、重要的安全性指标等不能溯源的；</w:t>
      </w:r>
      <w:r>
        <w:rPr>
          <w:rFonts w:eastAsia="仿宋_GB2312"/>
          <w:sz w:val="32"/>
          <w:szCs w:val="32"/>
        </w:rPr>
        <w:t xml:space="preserve"> </w:t>
      </w:r>
    </w:p>
    <w:p w:rsidR="00D83B76" w:rsidRDefault="00D83B76" w:rsidP="00D83B76">
      <w:pPr>
        <w:overflowPunct w:val="0"/>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试验用医疗器械或体外诊断试剂不真实的。如以对照用医疗器械替代试验用医疗器械、以试验用医疗器械替代对照用医疗器械，以及以其他方式使用虚假试验用医疗器械；</w:t>
      </w:r>
    </w:p>
    <w:p w:rsidR="00D83B76" w:rsidRDefault="00D83B76" w:rsidP="00D83B76">
      <w:pPr>
        <w:overflowPunct w:val="0"/>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瞒报严重不良事件和可能导致严重不良事件的医疗器械缺陷、方案禁用的合并用药或医疗器械等；</w:t>
      </w:r>
    </w:p>
    <w:p w:rsidR="00D83B76" w:rsidRDefault="00D83B76" w:rsidP="00D83B76">
      <w:pPr>
        <w:overflowPunct w:val="0"/>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注册申请的临床试验报告中涉及安全性和有效性数据</w:t>
      </w:r>
      <w:r>
        <w:rPr>
          <w:rFonts w:eastAsia="仿宋_GB2312" w:hint="eastAsia"/>
          <w:sz w:val="32"/>
          <w:szCs w:val="32"/>
        </w:rPr>
        <w:lastRenderedPageBreak/>
        <w:t>与临床试验机构保存的临床试验报告中的数据不一致的</w:t>
      </w:r>
      <w:r>
        <w:rPr>
          <w:rFonts w:eastAsia="仿宋_GB2312"/>
          <w:sz w:val="32"/>
          <w:szCs w:val="32"/>
        </w:rPr>
        <w:t>;</w:t>
      </w:r>
    </w:p>
    <w:p w:rsidR="00D83B76" w:rsidRDefault="00D83B76" w:rsidP="00D83B76">
      <w:pPr>
        <w:overflowPunct w:val="0"/>
        <w:spacing w:line="56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注册申请的临床试验统计分析报告中涉及安全性和有效性数据与数据库数据或分中心小结中数据不一致的；</w:t>
      </w:r>
      <w:r>
        <w:rPr>
          <w:rFonts w:eastAsia="仿宋_GB2312"/>
          <w:sz w:val="32"/>
          <w:szCs w:val="32"/>
        </w:rPr>
        <w:t xml:space="preserve"> </w:t>
      </w:r>
    </w:p>
    <w:p w:rsidR="00D83B76" w:rsidRDefault="00D83B76" w:rsidP="00D83B76">
      <w:pPr>
        <w:overflowPunct w:val="0"/>
        <w:spacing w:line="56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临床试验方案中未明确规定临床试验用样本可以重复使用，而临床试验过程中重复使用临床试验用样本的；</w:t>
      </w:r>
    </w:p>
    <w:p w:rsidR="00D83B76" w:rsidRDefault="00D83B76" w:rsidP="00D83B76">
      <w:pPr>
        <w:overflowPunct w:val="0"/>
        <w:spacing w:line="56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其他故意破坏医疗器械临床试验数据真实性的情形。</w:t>
      </w:r>
    </w:p>
    <w:p w:rsidR="00D83B76" w:rsidRDefault="00D83B76" w:rsidP="00D83B76">
      <w:pPr>
        <w:overflowPunct w:val="0"/>
        <w:spacing w:line="560" w:lineRule="exact"/>
        <w:ind w:firstLineChars="200" w:firstLine="640"/>
        <w:rPr>
          <w:rFonts w:eastAsia="仿宋_GB2312"/>
          <w:sz w:val="32"/>
          <w:szCs w:val="32"/>
        </w:rPr>
      </w:pPr>
      <w:r>
        <w:rPr>
          <w:rFonts w:eastAsia="仿宋_GB2312" w:hint="eastAsia"/>
          <w:sz w:val="32"/>
          <w:szCs w:val="32"/>
        </w:rPr>
        <w:t>二、未发现真实性问题的，但临床试验过程不符合医疗器械临床试验相关规定要求的，判定为存在合</w:t>
      </w:r>
      <w:proofErr w:type="gramStart"/>
      <w:r>
        <w:rPr>
          <w:rFonts w:eastAsia="仿宋_GB2312" w:hint="eastAsia"/>
          <w:sz w:val="32"/>
          <w:szCs w:val="32"/>
        </w:rPr>
        <w:t>规</w:t>
      </w:r>
      <w:proofErr w:type="gramEnd"/>
      <w:r>
        <w:rPr>
          <w:rFonts w:eastAsia="仿宋_GB2312" w:hint="eastAsia"/>
          <w:sz w:val="32"/>
          <w:szCs w:val="32"/>
        </w:rPr>
        <w:t>性问题。</w:t>
      </w:r>
    </w:p>
    <w:p w:rsidR="00D83B76" w:rsidRDefault="00D83B76" w:rsidP="00D83B76">
      <w:pPr>
        <w:ind w:firstLineChars="200" w:firstLine="640"/>
        <w:rPr>
          <w:rFonts w:eastAsia="仿宋_GB2312"/>
          <w:sz w:val="32"/>
          <w:szCs w:val="32"/>
        </w:rPr>
      </w:pPr>
      <w:r>
        <w:rPr>
          <w:rFonts w:eastAsia="仿宋_GB2312" w:hint="eastAsia"/>
          <w:sz w:val="32"/>
          <w:szCs w:val="32"/>
        </w:rPr>
        <w:t>三、未发现上述问题的，判定为符合要求。</w:t>
      </w:r>
    </w:p>
    <w:p w:rsidR="00D83B76" w:rsidRPr="00D83B76" w:rsidRDefault="00D83B76">
      <w:pPr>
        <w:rPr>
          <w:rFonts w:hint="eastAsia"/>
        </w:rPr>
      </w:pPr>
      <w:bookmarkStart w:id="0" w:name="_GoBack"/>
      <w:bookmarkEnd w:id="0"/>
    </w:p>
    <w:sectPr w:rsidR="00D83B76" w:rsidRPr="00D83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2BFB"/>
    <w:rsid w:val="00B27524"/>
    <w:rsid w:val="00B42BFB"/>
    <w:rsid w:val="00D8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2</cp:revision>
  <dcterms:created xsi:type="dcterms:W3CDTF">2018-12-05T01:56:00Z</dcterms:created>
  <dcterms:modified xsi:type="dcterms:W3CDTF">2018-12-05T01:59:00Z</dcterms:modified>
</cp:coreProperties>
</file>